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72A32" w14:textId="78792F77" w:rsidR="00B446F6" w:rsidRDefault="00CF5758" w:rsidP="007412A9">
      <w:pPr>
        <w:jc w:val="center"/>
        <w:rPr>
          <w:rFonts w:cstheme="minorHAnsi"/>
          <w:b/>
          <w:bCs/>
          <w:sz w:val="22"/>
          <w:szCs w:val="22"/>
        </w:rPr>
      </w:pPr>
      <w:r>
        <w:rPr>
          <w:rFonts w:cstheme="minorHAnsi"/>
          <w:b/>
          <w:bCs/>
          <w:noProof/>
          <w:sz w:val="22"/>
          <w:szCs w:val="22"/>
        </w:rPr>
        <w:drawing>
          <wp:inline distT="0" distB="0" distL="0" distR="0" wp14:anchorId="5C1ED16E" wp14:editId="05768A7C">
            <wp:extent cx="3130550" cy="1067598"/>
            <wp:effectExtent l="0" t="0" r="0" b="0"/>
            <wp:docPr id="365890340"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90340" name="Picture 1" descr="A blue and green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53103" cy="1075289"/>
                    </a:xfrm>
                    <a:prstGeom prst="rect">
                      <a:avLst/>
                    </a:prstGeom>
                  </pic:spPr>
                </pic:pic>
              </a:graphicData>
            </a:graphic>
          </wp:inline>
        </w:drawing>
      </w:r>
    </w:p>
    <w:p w14:paraId="581C20FB" w14:textId="77777777" w:rsidR="00B446F6" w:rsidRDefault="00B446F6" w:rsidP="007412A9">
      <w:pPr>
        <w:jc w:val="center"/>
        <w:rPr>
          <w:rFonts w:cstheme="minorHAnsi"/>
          <w:b/>
          <w:bCs/>
          <w:sz w:val="22"/>
          <w:szCs w:val="22"/>
        </w:rPr>
      </w:pPr>
    </w:p>
    <w:p w14:paraId="5D6CBFF9" w14:textId="1C8921EC" w:rsidR="00DE1DA5" w:rsidRDefault="0017088E" w:rsidP="0003019B">
      <w:pPr>
        <w:jc w:val="center"/>
        <w:rPr>
          <w:rFonts w:cstheme="minorHAnsi"/>
          <w:b/>
          <w:bCs/>
          <w:sz w:val="22"/>
          <w:szCs w:val="22"/>
        </w:rPr>
      </w:pPr>
      <w:bookmarkStart w:id="0" w:name="_Hlk184131108"/>
      <w:r w:rsidRPr="008448A3">
        <w:rPr>
          <w:rFonts w:cstheme="minorHAnsi"/>
          <w:b/>
          <w:bCs/>
          <w:sz w:val="22"/>
          <w:szCs w:val="22"/>
        </w:rPr>
        <w:t>TEMPLATE FOR SERVICE PROVIDER</w:t>
      </w:r>
      <w:r w:rsidR="0003019B">
        <w:rPr>
          <w:rFonts w:cstheme="minorHAnsi"/>
          <w:b/>
          <w:bCs/>
          <w:sz w:val="22"/>
          <w:szCs w:val="22"/>
        </w:rPr>
        <w:t xml:space="preserve"> MEMBERS TO SUBMIT CONGRESSIONAL LETTERS</w:t>
      </w:r>
    </w:p>
    <w:p w14:paraId="4F8A573F" w14:textId="3F5DB633" w:rsidR="006541F5" w:rsidRPr="0003019B" w:rsidRDefault="0003019B" w:rsidP="0003019B">
      <w:pPr>
        <w:jc w:val="center"/>
        <w:rPr>
          <w:rFonts w:cstheme="minorHAnsi"/>
          <w:b/>
          <w:bCs/>
          <w:sz w:val="22"/>
          <w:szCs w:val="22"/>
        </w:rPr>
      </w:pPr>
      <w:r>
        <w:rPr>
          <w:rFonts w:cstheme="minorHAnsi"/>
          <w:b/>
          <w:bCs/>
          <w:sz w:val="22"/>
          <w:szCs w:val="22"/>
        </w:rPr>
        <w:t>INDIVIDUAL AND ORGANIZATION VERSIONS</w:t>
      </w:r>
    </w:p>
    <w:p w14:paraId="3A58DC15" w14:textId="77777777" w:rsidR="00F36801" w:rsidRPr="008448A3" w:rsidRDefault="00F36801" w:rsidP="00F36801">
      <w:pPr>
        <w:rPr>
          <w:rFonts w:cstheme="minorHAnsi"/>
          <w:sz w:val="22"/>
          <w:szCs w:val="22"/>
        </w:rPr>
      </w:pPr>
    </w:p>
    <w:p w14:paraId="0E1B47EC" w14:textId="398C897A" w:rsidR="00936FFA" w:rsidRDefault="00534A0F" w:rsidP="00DE1DA5">
      <w:pPr>
        <w:rPr>
          <w:rFonts w:cstheme="minorHAnsi"/>
          <w:sz w:val="22"/>
          <w:szCs w:val="22"/>
        </w:rPr>
      </w:pPr>
      <w:r>
        <w:rPr>
          <w:rFonts w:cstheme="minorHAnsi"/>
          <w:sz w:val="22"/>
          <w:szCs w:val="22"/>
        </w:rPr>
        <w:t>T</w:t>
      </w:r>
      <w:r w:rsidR="00442545">
        <w:rPr>
          <w:rFonts w:cstheme="minorHAnsi"/>
          <w:sz w:val="22"/>
          <w:szCs w:val="22"/>
        </w:rPr>
        <w:t xml:space="preserve">he </w:t>
      </w:r>
      <w:r w:rsidR="0021179B">
        <w:rPr>
          <w:rFonts w:cstheme="minorHAnsi"/>
          <w:sz w:val="22"/>
          <w:szCs w:val="22"/>
        </w:rPr>
        <w:t xml:space="preserve">upcoming </w:t>
      </w:r>
      <w:r w:rsidR="0003019B">
        <w:rPr>
          <w:rFonts w:cstheme="minorHAnsi"/>
          <w:sz w:val="22"/>
          <w:szCs w:val="22"/>
        </w:rPr>
        <w:t>Tax Cuts and Jobs Act</w:t>
      </w:r>
      <w:r w:rsidR="0021179B">
        <w:rPr>
          <w:rFonts w:cstheme="minorHAnsi"/>
          <w:sz w:val="22"/>
          <w:szCs w:val="22"/>
        </w:rPr>
        <w:t xml:space="preserve"> </w:t>
      </w:r>
      <w:r w:rsidR="0065694C">
        <w:rPr>
          <w:rFonts w:cstheme="minorHAnsi"/>
          <w:sz w:val="22"/>
          <w:szCs w:val="22"/>
        </w:rPr>
        <w:t xml:space="preserve">(TCJA) </w:t>
      </w:r>
      <w:r w:rsidR="0021179B">
        <w:rPr>
          <w:rFonts w:cstheme="minorHAnsi"/>
          <w:sz w:val="22"/>
          <w:szCs w:val="22"/>
        </w:rPr>
        <w:t>debate, expected to occur</w:t>
      </w:r>
      <w:r w:rsidR="005C38EC">
        <w:rPr>
          <w:rFonts w:cstheme="minorHAnsi"/>
          <w:sz w:val="22"/>
          <w:szCs w:val="22"/>
        </w:rPr>
        <w:t xml:space="preserve"> </w:t>
      </w:r>
      <w:r w:rsidR="0003019B">
        <w:rPr>
          <w:rFonts w:cstheme="minorHAnsi"/>
          <w:sz w:val="22"/>
          <w:szCs w:val="22"/>
        </w:rPr>
        <w:t xml:space="preserve">early </w:t>
      </w:r>
      <w:r w:rsidR="0065694C">
        <w:rPr>
          <w:rFonts w:cstheme="minorHAnsi"/>
          <w:sz w:val="22"/>
          <w:szCs w:val="22"/>
        </w:rPr>
        <w:t>this</w:t>
      </w:r>
      <w:r w:rsidR="005C38EC">
        <w:rPr>
          <w:rFonts w:cstheme="minorHAnsi"/>
          <w:sz w:val="22"/>
          <w:szCs w:val="22"/>
        </w:rPr>
        <w:t xml:space="preserve"> year, </w:t>
      </w:r>
      <w:r>
        <w:rPr>
          <w:rFonts w:cstheme="minorHAnsi"/>
          <w:sz w:val="22"/>
          <w:szCs w:val="22"/>
        </w:rPr>
        <w:t xml:space="preserve">will include the </w:t>
      </w:r>
      <w:r w:rsidR="00F2321D">
        <w:rPr>
          <w:rFonts w:cstheme="minorHAnsi"/>
          <w:sz w:val="22"/>
          <w:szCs w:val="22"/>
        </w:rPr>
        <w:t xml:space="preserve">future of the </w:t>
      </w:r>
      <w:r w:rsidR="0065694C">
        <w:rPr>
          <w:rFonts w:cstheme="minorHAnsi"/>
          <w:sz w:val="22"/>
          <w:szCs w:val="22"/>
        </w:rPr>
        <w:t>m</w:t>
      </w:r>
      <w:r w:rsidR="00F2321D">
        <w:rPr>
          <w:rFonts w:cstheme="minorHAnsi"/>
          <w:sz w:val="22"/>
          <w:szCs w:val="22"/>
        </w:rPr>
        <w:t>oving</w:t>
      </w:r>
      <w:r w:rsidR="00744C24">
        <w:rPr>
          <w:rFonts w:cstheme="minorHAnsi"/>
          <w:sz w:val="22"/>
          <w:szCs w:val="22"/>
        </w:rPr>
        <w:t xml:space="preserve"> </w:t>
      </w:r>
      <w:r w:rsidR="0065694C">
        <w:rPr>
          <w:rFonts w:cstheme="minorHAnsi"/>
          <w:sz w:val="22"/>
          <w:szCs w:val="22"/>
        </w:rPr>
        <w:t>e</w:t>
      </w:r>
      <w:r w:rsidR="00F2321D">
        <w:rPr>
          <w:rFonts w:cstheme="minorHAnsi"/>
          <w:sz w:val="22"/>
          <w:szCs w:val="22"/>
        </w:rPr>
        <w:t xml:space="preserve">xpense </w:t>
      </w:r>
      <w:r w:rsidR="0065694C">
        <w:rPr>
          <w:rFonts w:cstheme="minorHAnsi"/>
          <w:sz w:val="22"/>
          <w:szCs w:val="22"/>
        </w:rPr>
        <w:t>t</w:t>
      </w:r>
      <w:r w:rsidR="00744C24">
        <w:rPr>
          <w:rFonts w:cstheme="minorHAnsi"/>
          <w:sz w:val="22"/>
          <w:szCs w:val="22"/>
        </w:rPr>
        <w:t xml:space="preserve">ax </w:t>
      </w:r>
      <w:r w:rsidR="00F2321D">
        <w:rPr>
          <w:rFonts w:cstheme="minorHAnsi"/>
          <w:sz w:val="22"/>
          <w:szCs w:val="22"/>
        </w:rPr>
        <w:t>deduction</w:t>
      </w:r>
      <w:r w:rsidR="00501442">
        <w:rPr>
          <w:rFonts w:cstheme="minorHAnsi"/>
          <w:sz w:val="22"/>
          <w:szCs w:val="22"/>
        </w:rPr>
        <w:t>, whose suspension under the TCJA is set to expire at the end of 2025.</w:t>
      </w:r>
      <w:r w:rsidR="00744C24">
        <w:rPr>
          <w:rFonts w:cstheme="minorHAnsi"/>
          <w:sz w:val="22"/>
          <w:szCs w:val="22"/>
        </w:rPr>
        <w:t xml:space="preserve"> </w:t>
      </w:r>
      <w:r w:rsidR="00B020CD">
        <w:rPr>
          <w:rFonts w:cstheme="minorHAnsi"/>
          <w:sz w:val="22"/>
          <w:szCs w:val="22"/>
        </w:rPr>
        <w:t xml:space="preserve">Congress must hear from across our industry the impact that not having the moving deduction since 2017 has had on </w:t>
      </w:r>
      <w:r w:rsidR="00A559E3">
        <w:rPr>
          <w:rFonts w:cstheme="minorHAnsi"/>
          <w:sz w:val="22"/>
          <w:szCs w:val="22"/>
        </w:rPr>
        <w:t xml:space="preserve">the 350,000+ </w:t>
      </w:r>
      <w:r w:rsidR="004C0C75">
        <w:rPr>
          <w:rFonts w:cstheme="minorHAnsi"/>
          <w:sz w:val="22"/>
          <w:szCs w:val="22"/>
        </w:rPr>
        <w:t>U.S. workers</w:t>
      </w:r>
      <w:r w:rsidR="00A559E3">
        <w:rPr>
          <w:rFonts w:cstheme="minorHAnsi"/>
          <w:sz w:val="22"/>
          <w:szCs w:val="22"/>
        </w:rPr>
        <w:t xml:space="preserve"> </w:t>
      </w:r>
      <w:r w:rsidR="0065694C">
        <w:rPr>
          <w:rFonts w:cstheme="minorHAnsi"/>
          <w:sz w:val="22"/>
          <w:szCs w:val="22"/>
        </w:rPr>
        <w:t xml:space="preserve">who </w:t>
      </w:r>
      <w:r w:rsidR="00A559E3">
        <w:rPr>
          <w:rFonts w:cstheme="minorHAnsi"/>
          <w:sz w:val="22"/>
          <w:szCs w:val="22"/>
        </w:rPr>
        <w:t xml:space="preserve">move within the </w:t>
      </w:r>
      <w:r w:rsidR="004C0C75">
        <w:rPr>
          <w:rFonts w:cstheme="minorHAnsi"/>
          <w:sz w:val="22"/>
          <w:szCs w:val="22"/>
        </w:rPr>
        <w:t>country</w:t>
      </w:r>
      <w:r w:rsidR="00A559E3">
        <w:rPr>
          <w:rFonts w:cstheme="minorHAnsi"/>
          <w:sz w:val="22"/>
          <w:szCs w:val="22"/>
        </w:rPr>
        <w:t xml:space="preserve"> for employment purposes</w:t>
      </w:r>
      <w:r w:rsidR="004C0C75">
        <w:rPr>
          <w:rFonts w:cstheme="minorHAnsi"/>
          <w:sz w:val="22"/>
          <w:szCs w:val="22"/>
        </w:rPr>
        <w:t xml:space="preserve"> each year and their employers.</w:t>
      </w:r>
      <w:r w:rsidR="00744C24">
        <w:rPr>
          <w:rFonts w:cstheme="minorHAnsi"/>
          <w:sz w:val="22"/>
          <w:szCs w:val="22"/>
        </w:rPr>
        <w:t xml:space="preserve"> </w:t>
      </w:r>
    </w:p>
    <w:p w14:paraId="4D70FA97" w14:textId="77777777" w:rsidR="00936FFA" w:rsidRDefault="00936FFA" w:rsidP="00DE1DA5">
      <w:pPr>
        <w:rPr>
          <w:rFonts w:cstheme="minorHAnsi"/>
          <w:sz w:val="22"/>
          <w:szCs w:val="22"/>
        </w:rPr>
      </w:pPr>
    </w:p>
    <w:p w14:paraId="71DEE885" w14:textId="73C34831" w:rsidR="00501442" w:rsidRDefault="002F0308" w:rsidP="00DE1DA5">
      <w:pPr>
        <w:rPr>
          <w:rFonts w:cstheme="minorHAnsi"/>
          <w:sz w:val="22"/>
          <w:szCs w:val="22"/>
        </w:rPr>
      </w:pPr>
      <w:r>
        <w:rPr>
          <w:rFonts w:cstheme="minorHAnsi"/>
          <w:sz w:val="22"/>
          <w:szCs w:val="22"/>
        </w:rPr>
        <w:t>WERC, in conjunction with</w:t>
      </w:r>
      <w:r w:rsidR="006351FE">
        <w:rPr>
          <w:rFonts w:cstheme="minorHAnsi"/>
          <w:sz w:val="22"/>
          <w:szCs w:val="22"/>
        </w:rPr>
        <w:t xml:space="preserve"> other industry associations such as the American Trucking Association (ATA) and </w:t>
      </w:r>
      <w:r w:rsidR="0065694C">
        <w:rPr>
          <w:rFonts w:cstheme="minorHAnsi"/>
          <w:sz w:val="22"/>
          <w:szCs w:val="22"/>
        </w:rPr>
        <w:t xml:space="preserve">the </w:t>
      </w:r>
      <w:r w:rsidR="006351FE">
        <w:rPr>
          <w:rFonts w:cstheme="minorHAnsi"/>
          <w:sz w:val="22"/>
          <w:szCs w:val="22"/>
        </w:rPr>
        <w:t xml:space="preserve">International Association of Movers (IAM), </w:t>
      </w:r>
      <w:r w:rsidR="0003019B">
        <w:rPr>
          <w:rFonts w:cstheme="minorHAnsi"/>
          <w:sz w:val="22"/>
          <w:szCs w:val="22"/>
        </w:rPr>
        <w:t>are actively engag</w:t>
      </w:r>
      <w:r w:rsidR="00257D15">
        <w:rPr>
          <w:rFonts w:cstheme="minorHAnsi"/>
          <w:sz w:val="22"/>
          <w:szCs w:val="22"/>
        </w:rPr>
        <w:t xml:space="preserve">ing </w:t>
      </w:r>
      <w:r w:rsidR="0003019B">
        <w:rPr>
          <w:rFonts w:cstheme="minorHAnsi"/>
          <w:sz w:val="22"/>
          <w:szCs w:val="22"/>
        </w:rPr>
        <w:t xml:space="preserve">around the reinstatement of the </w:t>
      </w:r>
      <w:r w:rsidR="0065694C">
        <w:rPr>
          <w:rFonts w:cstheme="minorHAnsi"/>
          <w:sz w:val="22"/>
          <w:szCs w:val="22"/>
        </w:rPr>
        <w:t>m</w:t>
      </w:r>
      <w:r w:rsidR="0003019B">
        <w:rPr>
          <w:rFonts w:cstheme="minorHAnsi"/>
          <w:sz w:val="22"/>
          <w:szCs w:val="22"/>
        </w:rPr>
        <w:t xml:space="preserve">oving </w:t>
      </w:r>
      <w:r w:rsidR="0065694C">
        <w:rPr>
          <w:rFonts w:cstheme="minorHAnsi"/>
          <w:sz w:val="22"/>
          <w:szCs w:val="22"/>
        </w:rPr>
        <w:t>expense ta</w:t>
      </w:r>
      <w:r w:rsidR="0003019B">
        <w:rPr>
          <w:rFonts w:cstheme="minorHAnsi"/>
          <w:sz w:val="22"/>
          <w:szCs w:val="22"/>
        </w:rPr>
        <w:t xml:space="preserve">x </w:t>
      </w:r>
      <w:r w:rsidR="0065694C">
        <w:rPr>
          <w:rFonts w:cstheme="minorHAnsi"/>
          <w:sz w:val="22"/>
          <w:szCs w:val="22"/>
        </w:rPr>
        <w:t>deduction</w:t>
      </w:r>
      <w:r w:rsidR="00B72C44">
        <w:rPr>
          <w:rFonts w:cstheme="minorHAnsi"/>
          <w:sz w:val="22"/>
          <w:szCs w:val="22"/>
        </w:rPr>
        <w:t xml:space="preserve">, but </w:t>
      </w:r>
      <w:r w:rsidR="002E4A75">
        <w:rPr>
          <w:rFonts w:cstheme="minorHAnsi"/>
          <w:sz w:val="22"/>
          <w:szCs w:val="22"/>
        </w:rPr>
        <w:t xml:space="preserve">organizations </w:t>
      </w:r>
      <w:r w:rsidR="00257D15">
        <w:rPr>
          <w:rFonts w:cstheme="minorHAnsi"/>
          <w:sz w:val="22"/>
          <w:szCs w:val="22"/>
        </w:rPr>
        <w:t xml:space="preserve">and individuals </w:t>
      </w:r>
      <w:r w:rsidR="0003019B">
        <w:rPr>
          <w:rFonts w:cstheme="minorHAnsi"/>
          <w:sz w:val="22"/>
          <w:szCs w:val="22"/>
        </w:rPr>
        <w:t>across the</w:t>
      </w:r>
      <w:r w:rsidR="002E4A75">
        <w:rPr>
          <w:rFonts w:cstheme="minorHAnsi"/>
          <w:sz w:val="22"/>
          <w:szCs w:val="22"/>
        </w:rPr>
        <w:t xml:space="preserve"> talent mobility </w:t>
      </w:r>
      <w:r w:rsidR="0065694C">
        <w:rPr>
          <w:rFonts w:cstheme="minorHAnsi"/>
          <w:sz w:val="22"/>
          <w:szCs w:val="22"/>
        </w:rPr>
        <w:t xml:space="preserve">industry </w:t>
      </w:r>
      <w:r w:rsidR="0003019B">
        <w:rPr>
          <w:rFonts w:cstheme="minorHAnsi"/>
          <w:sz w:val="22"/>
          <w:szCs w:val="22"/>
        </w:rPr>
        <w:t>must also reach out to</w:t>
      </w:r>
      <w:r w:rsidR="002E4A75">
        <w:rPr>
          <w:rFonts w:cstheme="minorHAnsi"/>
          <w:sz w:val="22"/>
          <w:szCs w:val="22"/>
        </w:rPr>
        <w:t xml:space="preserve"> </w:t>
      </w:r>
      <w:r w:rsidR="0003019B">
        <w:rPr>
          <w:rFonts w:cstheme="minorHAnsi"/>
          <w:sz w:val="22"/>
          <w:szCs w:val="22"/>
        </w:rPr>
        <w:t>Congressional offices to share the need for reinstatement</w:t>
      </w:r>
      <w:r w:rsidR="009F31C6">
        <w:rPr>
          <w:rFonts w:cstheme="minorHAnsi"/>
          <w:sz w:val="22"/>
          <w:szCs w:val="22"/>
        </w:rPr>
        <w:t>.</w:t>
      </w:r>
      <w:r w:rsidR="00744C24">
        <w:rPr>
          <w:rFonts w:cstheme="minorHAnsi"/>
          <w:sz w:val="22"/>
          <w:szCs w:val="22"/>
        </w:rPr>
        <w:t xml:space="preserve"> </w:t>
      </w:r>
      <w:r w:rsidR="00257D15">
        <w:rPr>
          <w:rFonts w:cstheme="minorHAnsi"/>
          <w:sz w:val="22"/>
          <w:szCs w:val="22"/>
        </w:rPr>
        <w:t>Organizational and individual t</w:t>
      </w:r>
      <w:r w:rsidR="009F31C6">
        <w:rPr>
          <w:rFonts w:cstheme="minorHAnsi"/>
          <w:sz w:val="22"/>
          <w:szCs w:val="22"/>
        </w:rPr>
        <w:t>emplate lette</w:t>
      </w:r>
      <w:r w:rsidR="00257D15">
        <w:rPr>
          <w:rFonts w:cstheme="minorHAnsi"/>
          <w:sz w:val="22"/>
          <w:szCs w:val="22"/>
        </w:rPr>
        <w:t>rs</w:t>
      </w:r>
      <w:r w:rsidR="009F31C6">
        <w:rPr>
          <w:rFonts w:cstheme="minorHAnsi"/>
          <w:sz w:val="22"/>
          <w:szCs w:val="22"/>
        </w:rPr>
        <w:t xml:space="preserve"> that members </w:t>
      </w:r>
      <w:r w:rsidR="00257D15">
        <w:rPr>
          <w:rFonts w:cstheme="minorHAnsi"/>
          <w:sz w:val="22"/>
          <w:szCs w:val="22"/>
        </w:rPr>
        <w:t xml:space="preserve">and industry </w:t>
      </w:r>
      <w:r w:rsidR="0065694C">
        <w:rPr>
          <w:rFonts w:cstheme="minorHAnsi"/>
          <w:sz w:val="22"/>
          <w:szCs w:val="22"/>
        </w:rPr>
        <w:t xml:space="preserve">organizations </w:t>
      </w:r>
      <w:r w:rsidR="009F31C6">
        <w:rPr>
          <w:rFonts w:cstheme="minorHAnsi"/>
          <w:sz w:val="22"/>
          <w:szCs w:val="22"/>
        </w:rPr>
        <w:t>can utilize</w:t>
      </w:r>
      <w:r w:rsidR="00126FCB">
        <w:rPr>
          <w:rFonts w:cstheme="minorHAnsi"/>
          <w:sz w:val="22"/>
          <w:szCs w:val="22"/>
        </w:rPr>
        <w:t>, along with submission instructions, can be found below.</w:t>
      </w:r>
    </w:p>
    <w:p w14:paraId="3FB1767C" w14:textId="77777777" w:rsidR="00B172B9" w:rsidRPr="008448A3" w:rsidRDefault="00B172B9" w:rsidP="00DE1DA5">
      <w:pPr>
        <w:rPr>
          <w:rFonts w:cstheme="minorHAnsi"/>
          <w:sz w:val="22"/>
          <w:szCs w:val="22"/>
        </w:rPr>
      </w:pPr>
    </w:p>
    <w:p w14:paraId="3027F4B9" w14:textId="25B56D93" w:rsidR="00B172B9" w:rsidRPr="00786863" w:rsidRDefault="00B172B9" w:rsidP="00DE1DA5">
      <w:pPr>
        <w:rPr>
          <w:rFonts w:cstheme="minorHAnsi"/>
          <w:b/>
          <w:bCs/>
          <w:sz w:val="22"/>
          <w:szCs w:val="22"/>
        </w:rPr>
      </w:pPr>
      <w:r w:rsidRPr="00786863">
        <w:rPr>
          <w:rFonts w:cstheme="minorHAnsi"/>
          <w:b/>
          <w:bCs/>
          <w:sz w:val="22"/>
          <w:szCs w:val="22"/>
        </w:rPr>
        <w:t>Submission Instructions</w:t>
      </w:r>
      <w:r w:rsidR="0065694C">
        <w:rPr>
          <w:rFonts w:cstheme="minorHAnsi"/>
          <w:b/>
          <w:bCs/>
          <w:sz w:val="22"/>
          <w:szCs w:val="22"/>
        </w:rPr>
        <w:br/>
      </w:r>
    </w:p>
    <w:p w14:paraId="197429A1" w14:textId="2E7DDBA2" w:rsidR="00B172B9" w:rsidRDefault="00357C1C" w:rsidP="00B172B9">
      <w:pPr>
        <w:numPr>
          <w:ilvl w:val="0"/>
          <w:numId w:val="3"/>
        </w:numPr>
        <w:rPr>
          <w:rFonts w:cstheme="minorHAnsi"/>
          <w:sz w:val="22"/>
          <w:szCs w:val="22"/>
        </w:rPr>
      </w:pPr>
      <w:r>
        <w:rPr>
          <w:rFonts w:cstheme="minorHAnsi"/>
          <w:sz w:val="22"/>
          <w:szCs w:val="22"/>
        </w:rPr>
        <w:t xml:space="preserve">WERC members and others in the talent mobility industry can submit a letter to their </w:t>
      </w:r>
      <w:r w:rsidR="0065694C">
        <w:rPr>
          <w:rFonts w:cstheme="minorHAnsi"/>
          <w:sz w:val="22"/>
          <w:szCs w:val="22"/>
        </w:rPr>
        <w:t>members</w:t>
      </w:r>
      <w:r>
        <w:rPr>
          <w:rFonts w:cstheme="minorHAnsi"/>
          <w:sz w:val="22"/>
          <w:szCs w:val="22"/>
        </w:rPr>
        <w:t xml:space="preserve"> of Congress leverag</w:t>
      </w:r>
      <w:r w:rsidR="0003019B">
        <w:rPr>
          <w:rFonts w:cstheme="minorHAnsi"/>
          <w:sz w:val="22"/>
          <w:szCs w:val="22"/>
        </w:rPr>
        <w:t>ing</w:t>
      </w:r>
      <w:r>
        <w:rPr>
          <w:rFonts w:cstheme="minorHAnsi"/>
          <w:sz w:val="22"/>
          <w:szCs w:val="22"/>
        </w:rPr>
        <w:t xml:space="preserve"> the</w:t>
      </w:r>
      <w:r w:rsidR="00D8351D">
        <w:rPr>
          <w:rFonts w:cstheme="minorHAnsi"/>
          <w:sz w:val="22"/>
          <w:szCs w:val="22"/>
        </w:rPr>
        <w:t xml:space="preserve"> organizational and individual</w:t>
      </w:r>
      <w:r>
        <w:rPr>
          <w:rFonts w:cstheme="minorHAnsi"/>
          <w:sz w:val="22"/>
          <w:szCs w:val="22"/>
        </w:rPr>
        <w:t xml:space="preserve"> template letter</w:t>
      </w:r>
      <w:r w:rsidR="0003019B">
        <w:rPr>
          <w:rFonts w:cstheme="minorHAnsi"/>
          <w:sz w:val="22"/>
          <w:szCs w:val="22"/>
        </w:rPr>
        <w:t>s</w:t>
      </w:r>
      <w:r>
        <w:rPr>
          <w:rFonts w:cstheme="minorHAnsi"/>
          <w:sz w:val="22"/>
          <w:szCs w:val="22"/>
        </w:rPr>
        <w:t xml:space="preserve"> </w:t>
      </w:r>
      <w:r w:rsidR="0003019B">
        <w:rPr>
          <w:rFonts w:cstheme="minorHAnsi"/>
          <w:sz w:val="22"/>
          <w:szCs w:val="22"/>
        </w:rPr>
        <w:t xml:space="preserve">below to email their applicable </w:t>
      </w:r>
      <w:r w:rsidR="0065694C">
        <w:rPr>
          <w:rFonts w:cstheme="minorHAnsi"/>
          <w:sz w:val="22"/>
          <w:szCs w:val="22"/>
        </w:rPr>
        <w:t xml:space="preserve">representatives </w:t>
      </w:r>
      <w:r w:rsidR="0003019B">
        <w:rPr>
          <w:rFonts w:cstheme="minorHAnsi"/>
          <w:sz w:val="22"/>
          <w:szCs w:val="22"/>
        </w:rPr>
        <w:t xml:space="preserve">and </w:t>
      </w:r>
      <w:r w:rsidR="0065694C">
        <w:rPr>
          <w:rFonts w:cstheme="minorHAnsi"/>
          <w:sz w:val="22"/>
          <w:szCs w:val="22"/>
        </w:rPr>
        <w:t>s</w:t>
      </w:r>
      <w:r w:rsidR="0003019B">
        <w:rPr>
          <w:rFonts w:cstheme="minorHAnsi"/>
          <w:sz w:val="22"/>
          <w:szCs w:val="22"/>
        </w:rPr>
        <w:t>enators.</w:t>
      </w:r>
    </w:p>
    <w:p w14:paraId="4B754E61" w14:textId="6DF802AE" w:rsidR="00744C24" w:rsidRDefault="000276F5" w:rsidP="00B172B9">
      <w:pPr>
        <w:numPr>
          <w:ilvl w:val="0"/>
          <w:numId w:val="3"/>
        </w:numPr>
        <w:rPr>
          <w:rFonts w:cstheme="minorHAnsi"/>
          <w:sz w:val="22"/>
          <w:szCs w:val="22"/>
        </w:rPr>
      </w:pPr>
      <w:r>
        <w:rPr>
          <w:rFonts w:cstheme="minorHAnsi"/>
          <w:sz w:val="22"/>
          <w:szCs w:val="22"/>
        </w:rPr>
        <w:t xml:space="preserve">Individuals can </w:t>
      </w:r>
      <w:hyperlink r:id="rId6" w:history="1">
        <w:r w:rsidRPr="00744C24">
          <w:rPr>
            <w:rStyle w:val="Hyperlink"/>
            <w:rFonts w:cstheme="minorHAnsi"/>
            <w:sz w:val="22"/>
            <w:szCs w:val="22"/>
          </w:rPr>
          <w:t>locate</w:t>
        </w:r>
      </w:hyperlink>
      <w:r>
        <w:rPr>
          <w:rFonts w:cstheme="minorHAnsi"/>
          <w:sz w:val="22"/>
          <w:szCs w:val="22"/>
        </w:rPr>
        <w:t xml:space="preserve"> their </w:t>
      </w:r>
      <w:proofErr w:type="gramStart"/>
      <w:r>
        <w:rPr>
          <w:rFonts w:cstheme="minorHAnsi"/>
          <w:sz w:val="22"/>
          <w:szCs w:val="22"/>
        </w:rPr>
        <w:t>particular member</w:t>
      </w:r>
      <w:proofErr w:type="gramEnd"/>
      <w:r>
        <w:rPr>
          <w:rFonts w:cstheme="minorHAnsi"/>
          <w:sz w:val="22"/>
          <w:szCs w:val="22"/>
        </w:rPr>
        <w:t xml:space="preserve"> of Congress</w:t>
      </w:r>
      <w:r w:rsidR="00744C24">
        <w:rPr>
          <w:rFonts w:cstheme="minorHAnsi"/>
          <w:sz w:val="22"/>
          <w:szCs w:val="22"/>
        </w:rPr>
        <w:t>.</w:t>
      </w:r>
    </w:p>
    <w:p w14:paraId="77CDB8CD" w14:textId="2D5F9205" w:rsidR="000276F5" w:rsidRDefault="000276F5" w:rsidP="00B172B9">
      <w:pPr>
        <w:numPr>
          <w:ilvl w:val="0"/>
          <w:numId w:val="3"/>
        </w:numPr>
        <w:rPr>
          <w:rFonts w:cstheme="minorHAnsi"/>
          <w:sz w:val="22"/>
          <w:szCs w:val="22"/>
        </w:rPr>
      </w:pPr>
      <w:r>
        <w:rPr>
          <w:rFonts w:cstheme="minorHAnsi"/>
          <w:sz w:val="22"/>
          <w:szCs w:val="22"/>
        </w:rPr>
        <w:t xml:space="preserve">Emails and/or communication submission forms are available on each </w:t>
      </w:r>
      <w:r w:rsidR="00744C24">
        <w:rPr>
          <w:rFonts w:cstheme="minorHAnsi"/>
          <w:sz w:val="22"/>
          <w:szCs w:val="22"/>
        </w:rPr>
        <w:t>r</w:t>
      </w:r>
      <w:r>
        <w:rPr>
          <w:rFonts w:cstheme="minorHAnsi"/>
          <w:sz w:val="22"/>
          <w:szCs w:val="22"/>
        </w:rPr>
        <w:t>epresentative</w:t>
      </w:r>
      <w:r w:rsidR="00744C24">
        <w:rPr>
          <w:rFonts w:cstheme="minorHAnsi"/>
          <w:sz w:val="22"/>
          <w:szCs w:val="22"/>
        </w:rPr>
        <w:t>’s</w:t>
      </w:r>
      <w:r>
        <w:rPr>
          <w:rFonts w:cstheme="minorHAnsi"/>
          <w:sz w:val="22"/>
          <w:szCs w:val="22"/>
        </w:rPr>
        <w:t xml:space="preserve"> or </w:t>
      </w:r>
      <w:r w:rsidR="00744C24">
        <w:rPr>
          <w:rFonts w:cstheme="minorHAnsi"/>
          <w:sz w:val="22"/>
          <w:szCs w:val="22"/>
        </w:rPr>
        <w:t>s</w:t>
      </w:r>
      <w:r>
        <w:rPr>
          <w:rFonts w:cstheme="minorHAnsi"/>
          <w:sz w:val="22"/>
          <w:szCs w:val="22"/>
        </w:rPr>
        <w:t xml:space="preserve">enator’s website </w:t>
      </w:r>
      <w:r w:rsidR="0065694C">
        <w:rPr>
          <w:rFonts w:cstheme="minorHAnsi"/>
          <w:sz w:val="22"/>
          <w:szCs w:val="22"/>
        </w:rPr>
        <w:t xml:space="preserve">and </w:t>
      </w:r>
      <w:r>
        <w:rPr>
          <w:rFonts w:cstheme="minorHAnsi"/>
          <w:sz w:val="22"/>
          <w:szCs w:val="22"/>
        </w:rPr>
        <w:t>can be leveraged to communicate with the office.</w:t>
      </w:r>
    </w:p>
    <w:p w14:paraId="658A5F5A" w14:textId="2C09737D" w:rsidR="00D8351D" w:rsidRDefault="00D8351D" w:rsidP="00B172B9">
      <w:pPr>
        <w:numPr>
          <w:ilvl w:val="0"/>
          <w:numId w:val="3"/>
        </w:numPr>
        <w:rPr>
          <w:rFonts w:cstheme="minorHAnsi"/>
          <w:sz w:val="22"/>
          <w:szCs w:val="22"/>
        </w:rPr>
      </w:pPr>
      <w:r>
        <w:rPr>
          <w:rFonts w:cstheme="minorHAnsi"/>
          <w:sz w:val="22"/>
          <w:szCs w:val="22"/>
        </w:rPr>
        <w:t>Members are encouraged to reach out to Congressional offices in locations where</w:t>
      </w:r>
      <w:r w:rsidR="00C935E4">
        <w:rPr>
          <w:rFonts w:cstheme="minorHAnsi"/>
          <w:sz w:val="22"/>
          <w:szCs w:val="22"/>
        </w:rPr>
        <w:t>: 1</w:t>
      </w:r>
      <w:r>
        <w:rPr>
          <w:rFonts w:cstheme="minorHAnsi"/>
          <w:sz w:val="22"/>
          <w:szCs w:val="22"/>
        </w:rPr>
        <w:t>) they are physically based and are a constituent of the district/state; or 2) where their organization has significant operations and associated employment.</w:t>
      </w:r>
      <w:r w:rsidR="00744C24">
        <w:rPr>
          <w:rFonts w:cstheme="minorHAnsi"/>
          <w:sz w:val="22"/>
          <w:szCs w:val="22"/>
        </w:rPr>
        <w:t xml:space="preserve"> </w:t>
      </w:r>
    </w:p>
    <w:p w14:paraId="6BE95D2C" w14:textId="6447FAA7" w:rsidR="0003019B" w:rsidRDefault="0003019B" w:rsidP="00B172B9">
      <w:pPr>
        <w:numPr>
          <w:ilvl w:val="0"/>
          <w:numId w:val="3"/>
        </w:numPr>
        <w:rPr>
          <w:rFonts w:cstheme="minorHAnsi"/>
          <w:sz w:val="22"/>
          <w:szCs w:val="22"/>
        </w:rPr>
      </w:pPr>
      <w:r>
        <w:rPr>
          <w:rFonts w:cstheme="minorHAnsi"/>
          <w:sz w:val="22"/>
          <w:szCs w:val="22"/>
        </w:rPr>
        <w:t xml:space="preserve">Versions are available both for use by individual talent mobility professionals and organizations within </w:t>
      </w:r>
      <w:r w:rsidR="00D8351D">
        <w:rPr>
          <w:rFonts w:cstheme="minorHAnsi"/>
          <w:sz w:val="22"/>
          <w:szCs w:val="22"/>
        </w:rPr>
        <w:t>the talent mobility</w:t>
      </w:r>
      <w:r>
        <w:rPr>
          <w:rFonts w:cstheme="minorHAnsi"/>
          <w:sz w:val="22"/>
          <w:szCs w:val="22"/>
        </w:rPr>
        <w:t xml:space="preserve"> industry</w:t>
      </w:r>
      <w:r w:rsidR="00D8351D">
        <w:rPr>
          <w:rFonts w:cstheme="minorHAnsi"/>
          <w:sz w:val="22"/>
          <w:szCs w:val="22"/>
        </w:rPr>
        <w:t>.</w:t>
      </w:r>
    </w:p>
    <w:p w14:paraId="01CCC223" w14:textId="46719E30" w:rsidR="00D8351D" w:rsidRPr="00B172B9" w:rsidRDefault="00D8351D" w:rsidP="00B172B9">
      <w:pPr>
        <w:numPr>
          <w:ilvl w:val="0"/>
          <w:numId w:val="3"/>
        </w:numPr>
        <w:rPr>
          <w:rFonts w:cstheme="minorHAnsi"/>
          <w:sz w:val="22"/>
          <w:szCs w:val="22"/>
        </w:rPr>
      </w:pPr>
      <w:r>
        <w:rPr>
          <w:rFonts w:cstheme="minorHAnsi"/>
          <w:sz w:val="22"/>
          <w:szCs w:val="22"/>
        </w:rPr>
        <w:t>Before submitting any letters to Congressional offices, members are encouraged to confirm any limitations or considerations that their organizations might have around any engagement with a Congressional office and what could, or could not, be shared within any letter submission.</w:t>
      </w:r>
      <w:r w:rsidR="00744C24">
        <w:rPr>
          <w:rFonts w:cstheme="minorHAnsi"/>
          <w:sz w:val="22"/>
          <w:szCs w:val="22"/>
        </w:rPr>
        <w:t xml:space="preserve"> </w:t>
      </w:r>
      <w:r>
        <w:rPr>
          <w:rFonts w:cstheme="minorHAnsi"/>
          <w:sz w:val="22"/>
          <w:szCs w:val="22"/>
        </w:rPr>
        <w:t xml:space="preserve">Templates should be adapted as necessary to comply with any associated requirements, and individual letters can be modified to </w:t>
      </w:r>
      <w:r w:rsidR="0065694C">
        <w:rPr>
          <w:rFonts w:cstheme="minorHAnsi"/>
          <w:sz w:val="22"/>
          <w:szCs w:val="22"/>
        </w:rPr>
        <w:t xml:space="preserve">be sent </w:t>
      </w:r>
      <w:proofErr w:type="gramStart"/>
      <w:r>
        <w:rPr>
          <w:rFonts w:cstheme="minorHAnsi"/>
          <w:sz w:val="22"/>
          <w:szCs w:val="22"/>
        </w:rPr>
        <w:t>in</w:t>
      </w:r>
      <w:proofErr w:type="gramEnd"/>
      <w:r>
        <w:rPr>
          <w:rFonts w:cstheme="minorHAnsi"/>
          <w:sz w:val="22"/>
          <w:szCs w:val="22"/>
        </w:rPr>
        <w:t xml:space="preserve"> an individual capacity without any reference to their employer.</w:t>
      </w:r>
    </w:p>
    <w:p w14:paraId="19FBBFBD" w14:textId="77777777" w:rsidR="00852FB2" w:rsidRDefault="00852FB2" w:rsidP="00DE1DA5">
      <w:pPr>
        <w:rPr>
          <w:rFonts w:cstheme="minorHAnsi"/>
        </w:rPr>
      </w:pPr>
    </w:p>
    <w:p w14:paraId="28A72375" w14:textId="3DBDFDC1" w:rsidR="00257D15" w:rsidRPr="00852FB2" w:rsidRDefault="00257D15" w:rsidP="00257D15">
      <w:pPr>
        <w:rPr>
          <w:rFonts w:cstheme="minorHAnsi"/>
          <w:b/>
          <w:bCs/>
          <w:sz w:val="22"/>
          <w:szCs w:val="22"/>
        </w:rPr>
      </w:pPr>
      <w:r w:rsidRPr="00852FB2">
        <w:rPr>
          <w:rFonts w:cstheme="minorHAnsi"/>
          <w:b/>
          <w:bCs/>
          <w:sz w:val="22"/>
          <w:szCs w:val="22"/>
        </w:rPr>
        <w:t>Questions?</w:t>
      </w:r>
      <w:r w:rsidR="00744C24">
        <w:rPr>
          <w:rFonts w:cstheme="minorHAnsi"/>
          <w:b/>
          <w:bCs/>
          <w:sz w:val="22"/>
          <w:szCs w:val="22"/>
        </w:rPr>
        <w:t xml:space="preserve"> </w:t>
      </w:r>
    </w:p>
    <w:p w14:paraId="2F081380" w14:textId="676F4D02" w:rsidR="00257D15" w:rsidRDefault="00257D15" w:rsidP="00257D15">
      <w:pPr>
        <w:rPr>
          <w:rFonts w:cstheme="minorHAnsi"/>
          <w:sz w:val="22"/>
          <w:szCs w:val="22"/>
        </w:rPr>
      </w:pPr>
      <w:r>
        <w:rPr>
          <w:rFonts w:cstheme="minorHAnsi"/>
          <w:sz w:val="22"/>
          <w:szCs w:val="22"/>
        </w:rPr>
        <w:t xml:space="preserve">Contact </w:t>
      </w:r>
      <w:hyperlink r:id="rId7" w:history="1">
        <w:r w:rsidRPr="00126FCB">
          <w:rPr>
            <w:rStyle w:val="Hyperlink"/>
            <w:rFonts w:cstheme="minorHAnsi"/>
            <w:sz w:val="22"/>
            <w:szCs w:val="22"/>
          </w:rPr>
          <w:t>Mike Jackson</w:t>
        </w:r>
      </w:hyperlink>
      <w:r>
        <w:rPr>
          <w:rFonts w:cstheme="minorHAnsi"/>
          <w:sz w:val="22"/>
          <w:szCs w:val="22"/>
        </w:rPr>
        <w:t xml:space="preserve">, WERC’s </w:t>
      </w:r>
      <w:r w:rsidR="0065694C">
        <w:rPr>
          <w:rFonts w:cstheme="minorHAnsi"/>
          <w:sz w:val="22"/>
          <w:szCs w:val="22"/>
        </w:rPr>
        <w:t>vice president of public policy and research</w:t>
      </w:r>
      <w:r>
        <w:rPr>
          <w:rFonts w:cstheme="minorHAnsi"/>
          <w:sz w:val="22"/>
          <w:szCs w:val="22"/>
        </w:rPr>
        <w:t>.</w:t>
      </w:r>
    </w:p>
    <w:p w14:paraId="6B98A9C8" w14:textId="77777777" w:rsidR="00CF5758" w:rsidRDefault="00CF5758" w:rsidP="00DE1DA5">
      <w:pPr>
        <w:rPr>
          <w:rFonts w:cstheme="minorHAnsi"/>
          <w:b/>
          <w:bCs/>
          <w:sz w:val="22"/>
          <w:szCs w:val="22"/>
        </w:rPr>
      </w:pPr>
    </w:p>
    <w:bookmarkEnd w:id="0"/>
    <w:p w14:paraId="6085E208" w14:textId="77777777" w:rsidR="00357C1C" w:rsidRDefault="00357C1C" w:rsidP="00DE1DA5">
      <w:pPr>
        <w:rPr>
          <w:rFonts w:cstheme="minorHAnsi"/>
          <w:b/>
          <w:bCs/>
          <w:sz w:val="22"/>
          <w:szCs w:val="22"/>
        </w:rPr>
      </w:pPr>
    </w:p>
    <w:p w14:paraId="4787F694" w14:textId="77777777" w:rsidR="00357C1C" w:rsidRDefault="00357C1C" w:rsidP="00DE1DA5">
      <w:pPr>
        <w:rPr>
          <w:rFonts w:cstheme="minorHAnsi"/>
          <w:b/>
          <w:bCs/>
          <w:sz w:val="22"/>
          <w:szCs w:val="22"/>
        </w:rPr>
      </w:pPr>
    </w:p>
    <w:p w14:paraId="405F44CC" w14:textId="77777777" w:rsidR="00357C1C" w:rsidRDefault="00357C1C" w:rsidP="00DE1DA5">
      <w:pPr>
        <w:rPr>
          <w:rFonts w:cstheme="minorHAnsi"/>
          <w:b/>
          <w:bCs/>
          <w:sz w:val="22"/>
          <w:szCs w:val="22"/>
        </w:rPr>
      </w:pPr>
    </w:p>
    <w:p w14:paraId="0746E58C" w14:textId="77777777" w:rsidR="00357C1C" w:rsidRDefault="00357C1C" w:rsidP="00DE1DA5">
      <w:pPr>
        <w:rPr>
          <w:rFonts w:cstheme="minorHAnsi"/>
          <w:b/>
          <w:bCs/>
          <w:sz w:val="22"/>
          <w:szCs w:val="22"/>
        </w:rPr>
      </w:pPr>
    </w:p>
    <w:p w14:paraId="6193B901" w14:textId="77777777" w:rsidR="00357C1C" w:rsidRDefault="00357C1C" w:rsidP="00DE1DA5">
      <w:pPr>
        <w:rPr>
          <w:rFonts w:cstheme="minorHAnsi"/>
          <w:b/>
          <w:bCs/>
          <w:sz w:val="22"/>
          <w:szCs w:val="22"/>
        </w:rPr>
      </w:pPr>
    </w:p>
    <w:p w14:paraId="122DA8BE" w14:textId="77777777" w:rsidR="00357C1C" w:rsidRDefault="00357C1C" w:rsidP="00DE1DA5">
      <w:pPr>
        <w:rPr>
          <w:rFonts w:cstheme="minorHAnsi"/>
          <w:b/>
          <w:bCs/>
          <w:sz w:val="22"/>
          <w:szCs w:val="22"/>
        </w:rPr>
      </w:pPr>
    </w:p>
    <w:p w14:paraId="213B92AC" w14:textId="77777777" w:rsidR="00CF5758" w:rsidRDefault="00CF5758" w:rsidP="00DE1DA5">
      <w:pPr>
        <w:rPr>
          <w:rFonts w:cstheme="minorHAnsi"/>
          <w:b/>
          <w:bCs/>
          <w:sz w:val="22"/>
          <w:szCs w:val="22"/>
        </w:rPr>
      </w:pPr>
    </w:p>
    <w:p w14:paraId="6688FA51" w14:textId="0C901B88" w:rsidR="00CC5660" w:rsidRPr="00B005BF" w:rsidRDefault="00357C1C" w:rsidP="00DE1DA5">
      <w:pPr>
        <w:rPr>
          <w:rFonts w:cstheme="minorHAnsi"/>
          <w:b/>
          <w:bCs/>
          <w:sz w:val="22"/>
          <w:szCs w:val="22"/>
          <w:u w:val="single"/>
        </w:rPr>
      </w:pPr>
      <w:bookmarkStart w:id="1" w:name="_Hlk184130727"/>
      <w:r w:rsidRPr="00B005BF">
        <w:rPr>
          <w:rFonts w:cstheme="minorHAnsi"/>
          <w:b/>
          <w:bCs/>
          <w:sz w:val="22"/>
          <w:szCs w:val="22"/>
          <w:u w:val="single"/>
        </w:rPr>
        <w:t xml:space="preserve">Service Provider Organizational </w:t>
      </w:r>
      <w:r w:rsidR="00786863" w:rsidRPr="00B005BF">
        <w:rPr>
          <w:rFonts w:cstheme="minorHAnsi"/>
          <w:b/>
          <w:bCs/>
          <w:sz w:val="22"/>
          <w:szCs w:val="22"/>
          <w:u w:val="single"/>
        </w:rPr>
        <w:t>Letter Template:</w:t>
      </w:r>
    </w:p>
    <w:p w14:paraId="66A3CAEA" w14:textId="7C6AD546" w:rsidR="00721453" w:rsidRDefault="00721453" w:rsidP="00DE1DA5">
      <w:pPr>
        <w:rPr>
          <w:rFonts w:cstheme="minorHAnsi"/>
          <w:sz w:val="22"/>
          <w:szCs w:val="22"/>
        </w:rPr>
      </w:pPr>
    </w:p>
    <w:p w14:paraId="7DF35A9B" w14:textId="0E0AA089" w:rsidR="003C682F" w:rsidRPr="00D05A37" w:rsidRDefault="003C682F" w:rsidP="003C682F">
      <w:pPr>
        <w:rPr>
          <w:rFonts w:cstheme="minorHAnsi"/>
          <w:sz w:val="22"/>
          <w:szCs w:val="22"/>
        </w:rPr>
      </w:pPr>
      <w:r w:rsidRPr="007F64B6">
        <w:rPr>
          <w:rFonts w:cstheme="minorHAnsi"/>
          <w:sz w:val="22"/>
          <w:szCs w:val="22"/>
          <w:u w:val="single"/>
        </w:rPr>
        <w:t>Subject Line of Email:</w:t>
      </w:r>
      <w:r w:rsidR="00744C24">
        <w:rPr>
          <w:rFonts w:cstheme="minorHAnsi"/>
          <w:sz w:val="22"/>
          <w:szCs w:val="22"/>
        </w:rPr>
        <w:t xml:space="preserve"> </w:t>
      </w:r>
      <w:r w:rsidR="00357C1C">
        <w:rPr>
          <w:rFonts w:cstheme="minorHAnsi"/>
          <w:sz w:val="22"/>
          <w:szCs w:val="22"/>
        </w:rPr>
        <w:t>Support American workers and employers by reinstating the</w:t>
      </w:r>
      <w:r w:rsidR="0065694C">
        <w:rPr>
          <w:rFonts w:cstheme="minorHAnsi"/>
          <w:sz w:val="22"/>
          <w:szCs w:val="22"/>
        </w:rPr>
        <w:t xml:space="preserve"> moving expense tax deduction</w:t>
      </w:r>
    </w:p>
    <w:p w14:paraId="5608FBA4" w14:textId="77777777" w:rsidR="00CF5758" w:rsidRDefault="00CF5758" w:rsidP="00DE1DA5">
      <w:pPr>
        <w:rPr>
          <w:rFonts w:cstheme="minorHAnsi"/>
          <w:sz w:val="22"/>
          <w:szCs w:val="22"/>
        </w:rPr>
      </w:pPr>
    </w:p>
    <w:p w14:paraId="3A352ACB" w14:textId="4FA2ED25" w:rsidR="00721453" w:rsidRPr="007F64B6" w:rsidRDefault="003C682F" w:rsidP="00DE1DA5">
      <w:pPr>
        <w:rPr>
          <w:rFonts w:cstheme="minorHAnsi"/>
          <w:sz w:val="22"/>
          <w:szCs w:val="22"/>
          <w:u w:val="single"/>
        </w:rPr>
      </w:pPr>
      <w:r w:rsidRPr="007F64B6">
        <w:rPr>
          <w:rFonts w:cstheme="minorHAnsi"/>
          <w:sz w:val="22"/>
          <w:szCs w:val="22"/>
          <w:u w:val="single"/>
        </w:rPr>
        <w:t xml:space="preserve">Text of </w:t>
      </w:r>
      <w:r w:rsidR="007E0D85">
        <w:rPr>
          <w:rFonts w:cstheme="minorHAnsi"/>
          <w:sz w:val="22"/>
          <w:szCs w:val="22"/>
          <w:u w:val="single"/>
        </w:rPr>
        <w:t>message</w:t>
      </w:r>
      <w:r w:rsidRPr="007F64B6">
        <w:rPr>
          <w:rFonts w:cstheme="minorHAnsi"/>
          <w:sz w:val="22"/>
          <w:szCs w:val="22"/>
          <w:u w:val="single"/>
        </w:rPr>
        <w:t xml:space="preserve"> to </w:t>
      </w:r>
      <w:r w:rsidR="007E0D85">
        <w:rPr>
          <w:rFonts w:cstheme="minorHAnsi"/>
          <w:sz w:val="22"/>
          <w:szCs w:val="22"/>
          <w:u w:val="single"/>
        </w:rPr>
        <w:t>include in</w:t>
      </w:r>
      <w:r w:rsidRPr="007F64B6">
        <w:rPr>
          <w:rFonts w:cstheme="minorHAnsi"/>
          <w:sz w:val="22"/>
          <w:szCs w:val="22"/>
          <w:u w:val="single"/>
        </w:rPr>
        <w:t xml:space="preserve"> email</w:t>
      </w:r>
      <w:r w:rsidR="007E0D85">
        <w:rPr>
          <w:rFonts w:cstheme="minorHAnsi"/>
          <w:sz w:val="22"/>
          <w:szCs w:val="22"/>
          <w:u w:val="single"/>
        </w:rPr>
        <w:t xml:space="preserve"> or letter</w:t>
      </w:r>
      <w:r w:rsidRPr="007F64B6">
        <w:rPr>
          <w:rFonts w:cstheme="minorHAnsi"/>
          <w:sz w:val="22"/>
          <w:szCs w:val="22"/>
          <w:u w:val="single"/>
        </w:rPr>
        <w:t>:</w:t>
      </w:r>
    </w:p>
    <w:bookmarkEnd w:id="1"/>
    <w:p w14:paraId="163935EF" w14:textId="77777777" w:rsidR="00DE1DA5" w:rsidRPr="00D05A37" w:rsidRDefault="00DE1DA5" w:rsidP="00DE1DA5">
      <w:pPr>
        <w:rPr>
          <w:rFonts w:cstheme="minorHAnsi"/>
          <w:sz w:val="22"/>
          <w:szCs w:val="22"/>
        </w:rPr>
      </w:pPr>
    </w:p>
    <w:p w14:paraId="2BD6CFCB" w14:textId="697801B9" w:rsidR="00DE1DA5" w:rsidRPr="00D05A37" w:rsidRDefault="00DE1DA5" w:rsidP="00DE1DA5">
      <w:pPr>
        <w:rPr>
          <w:rFonts w:cstheme="minorHAnsi"/>
          <w:sz w:val="22"/>
          <w:szCs w:val="22"/>
        </w:rPr>
      </w:pPr>
      <w:r w:rsidRPr="00D05A37">
        <w:rPr>
          <w:rFonts w:cstheme="minorHAnsi"/>
          <w:sz w:val="22"/>
          <w:szCs w:val="22"/>
        </w:rPr>
        <w:t xml:space="preserve">Dear </w:t>
      </w:r>
      <w:r w:rsidR="00D8351D" w:rsidRPr="00D8351D">
        <w:rPr>
          <w:rFonts w:cstheme="minorHAnsi"/>
          <w:b/>
          <w:bCs/>
          <w:sz w:val="22"/>
          <w:szCs w:val="22"/>
        </w:rPr>
        <w:t>[</w:t>
      </w:r>
      <w:r w:rsidR="00357C1C" w:rsidRPr="00D8351D">
        <w:rPr>
          <w:rFonts w:cstheme="minorHAnsi"/>
          <w:b/>
          <w:bCs/>
          <w:sz w:val="22"/>
          <w:szCs w:val="22"/>
          <w:highlight w:val="yellow"/>
        </w:rPr>
        <w:t>Representative/Senator</w:t>
      </w:r>
      <w:r w:rsidR="00D8351D" w:rsidRPr="00D8351D">
        <w:rPr>
          <w:rFonts w:cstheme="minorHAnsi"/>
          <w:b/>
          <w:bCs/>
          <w:sz w:val="22"/>
          <w:szCs w:val="22"/>
          <w:highlight w:val="yellow"/>
        </w:rPr>
        <w:t>]</w:t>
      </w:r>
      <w:r w:rsidRPr="00B005BF">
        <w:rPr>
          <w:rFonts w:cstheme="minorHAnsi"/>
          <w:sz w:val="22"/>
          <w:szCs w:val="22"/>
          <w:highlight w:val="yellow"/>
        </w:rPr>
        <w:t>,</w:t>
      </w:r>
    </w:p>
    <w:p w14:paraId="6AEE5A89" w14:textId="77777777" w:rsidR="00DE1DA5" w:rsidRPr="00D05A37" w:rsidRDefault="00DE1DA5" w:rsidP="00DE1DA5">
      <w:pPr>
        <w:rPr>
          <w:rFonts w:cstheme="minorHAnsi"/>
          <w:sz w:val="22"/>
          <w:szCs w:val="22"/>
        </w:rPr>
      </w:pPr>
    </w:p>
    <w:p w14:paraId="4073AEFA" w14:textId="70DB8D6B" w:rsidR="008D705E" w:rsidRPr="00D05A37" w:rsidRDefault="008D705E" w:rsidP="008D705E">
      <w:pPr>
        <w:rPr>
          <w:rFonts w:cstheme="minorHAnsi"/>
          <w:sz w:val="22"/>
          <w:szCs w:val="22"/>
        </w:rPr>
      </w:pPr>
      <w:r w:rsidRPr="00D05A37">
        <w:rPr>
          <w:rFonts w:cstheme="minorHAnsi"/>
          <w:sz w:val="22"/>
          <w:szCs w:val="22"/>
        </w:rPr>
        <w:t xml:space="preserve">Our organization </w:t>
      </w:r>
      <w:r w:rsidR="00D8351D">
        <w:rPr>
          <w:rFonts w:cstheme="minorHAnsi"/>
          <w:sz w:val="22"/>
          <w:szCs w:val="22"/>
        </w:rPr>
        <w:t xml:space="preserve">is a constituent employer within your </w:t>
      </w:r>
      <w:r w:rsidR="00D8351D" w:rsidRPr="00D8351D">
        <w:rPr>
          <w:rFonts w:cstheme="minorHAnsi"/>
          <w:b/>
          <w:bCs/>
          <w:sz w:val="22"/>
          <w:szCs w:val="22"/>
          <w:highlight w:val="yellow"/>
        </w:rPr>
        <w:t>[district/</w:t>
      </w:r>
      <w:proofErr w:type="gramStart"/>
      <w:r w:rsidR="00D8351D" w:rsidRPr="00D8351D">
        <w:rPr>
          <w:rFonts w:cstheme="minorHAnsi"/>
          <w:b/>
          <w:bCs/>
          <w:sz w:val="22"/>
          <w:szCs w:val="22"/>
          <w:highlight w:val="yellow"/>
        </w:rPr>
        <w:t>state]</w:t>
      </w:r>
      <w:r w:rsidR="00D8351D">
        <w:rPr>
          <w:rFonts w:cstheme="minorHAnsi"/>
          <w:sz w:val="22"/>
          <w:szCs w:val="22"/>
        </w:rPr>
        <w:t>,</w:t>
      </w:r>
      <w:proofErr w:type="gramEnd"/>
      <w:r w:rsidR="00D8351D">
        <w:rPr>
          <w:rFonts w:cstheme="minorHAnsi"/>
          <w:sz w:val="22"/>
          <w:szCs w:val="22"/>
        </w:rPr>
        <w:t xml:space="preserve"> and we </w:t>
      </w:r>
      <w:r w:rsidRPr="00D05A37">
        <w:rPr>
          <w:rFonts w:cstheme="minorHAnsi"/>
          <w:sz w:val="22"/>
          <w:szCs w:val="22"/>
        </w:rPr>
        <w:t>strongly support the reinstatement of the moving expense tax deduction and exclusion</w:t>
      </w:r>
      <w:r w:rsidR="00257D15">
        <w:rPr>
          <w:rFonts w:cstheme="minorHAnsi"/>
          <w:sz w:val="22"/>
          <w:szCs w:val="22"/>
        </w:rPr>
        <w:t xml:space="preserve"> at the end of 2025</w:t>
      </w:r>
      <w:r w:rsidRPr="00D05A37">
        <w:rPr>
          <w:rFonts w:cstheme="minorHAnsi"/>
          <w:sz w:val="22"/>
          <w:szCs w:val="22"/>
        </w:rPr>
        <w:t>. Th</w:t>
      </w:r>
      <w:r w:rsidR="00E41D0B" w:rsidRPr="00D05A37">
        <w:rPr>
          <w:rFonts w:cstheme="minorHAnsi"/>
          <w:sz w:val="22"/>
          <w:szCs w:val="22"/>
        </w:rPr>
        <w:t>is</w:t>
      </w:r>
      <w:r w:rsidRPr="00D05A37">
        <w:rPr>
          <w:rFonts w:cstheme="minorHAnsi"/>
          <w:sz w:val="22"/>
          <w:szCs w:val="22"/>
        </w:rPr>
        <w:t xml:space="preserve"> important tax deduction and exclusion will again provide critical tax relief for </w:t>
      </w:r>
      <w:r w:rsidR="0065694C">
        <w:rPr>
          <w:rFonts w:cstheme="minorHAnsi"/>
          <w:sz w:val="22"/>
          <w:szCs w:val="22"/>
        </w:rPr>
        <w:t>middle-class</w:t>
      </w:r>
      <w:r w:rsidRPr="00D05A37">
        <w:rPr>
          <w:rFonts w:cstheme="minorHAnsi"/>
          <w:sz w:val="22"/>
          <w:szCs w:val="22"/>
        </w:rPr>
        <w:t xml:space="preserve"> workers and families as well as businesses like ours that </w:t>
      </w:r>
      <w:r w:rsidR="001A3422" w:rsidRPr="00D05A37">
        <w:rPr>
          <w:rFonts w:cstheme="minorHAnsi"/>
          <w:sz w:val="22"/>
          <w:szCs w:val="22"/>
        </w:rPr>
        <w:t xml:space="preserve">support the </w:t>
      </w:r>
      <w:r w:rsidRPr="00D05A37">
        <w:rPr>
          <w:rFonts w:cstheme="minorHAnsi"/>
          <w:sz w:val="22"/>
          <w:szCs w:val="22"/>
        </w:rPr>
        <w:t>relocat</w:t>
      </w:r>
      <w:r w:rsidR="001A3422" w:rsidRPr="00D05A37">
        <w:rPr>
          <w:rFonts w:cstheme="minorHAnsi"/>
          <w:sz w:val="22"/>
          <w:szCs w:val="22"/>
        </w:rPr>
        <w:t>ion</w:t>
      </w:r>
      <w:r w:rsidRPr="00D05A37">
        <w:rPr>
          <w:rFonts w:cstheme="minorHAnsi"/>
          <w:sz w:val="22"/>
          <w:szCs w:val="22"/>
        </w:rPr>
        <w:t xml:space="preserve"> </w:t>
      </w:r>
      <w:r w:rsidR="001A3422" w:rsidRPr="00D05A37">
        <w:rPr>
          <w:rFonts w:cstheme="minorHAnsi"/>
          <w:sz w:val="22"/>
          <w:szCs w:val="22"/>
        </w:rPr>
        <w:t xml:space="preserve">of </w:t>
      </w:r>
      <w:r w:rsidRPr="00D05A37">
        <w:rPr>
          <w:rFonts w:cstheme="minorHAnsi"/>
          <w:sz w:val="22"/>
          <w:szCs w:val="22"/>
        </w:rPr>
        <w:t xml:space="preserve">employees around the </w:t>
      </w:r>
      <w:r w:rsidR="008B47D3" w:rsidRPr="00D05A37">
        <w:rPr>
          <w:rFonts w:cstheme="minorHAnsi"/>
          <w:sz w:val="22"/>
          <w:szCs w:val="22"/>
        </w:rPr>
        <w:t>country</w:t>
      </w:r>
      <w:r w:rsidRPr="00D05A37">
        <w:rPr>
          <w:rFonts w:cstheme="minorHAnsi"/>
          <w:sz w:val="22"/>
          <w:szCs w:val="22"/>
        </w:rPr>
        <w:t xml:space="preserve"> and world and which </w:t>
      </w:r>
      <w:r w:rsidR="00E41D0B" w:rsidRPr="00D05A37">
        <w:rPr>
          <w:rFonts w:cstheme="minorHAnsi"/>
          <w:sz w:val="22"/>
          <w:szCs w:val="22"/>
        </w:rPr>
        <w:t xml:space="preserve">are </w:t>
      </w:r>
      <w:r w:rsidR="00662A45" w:rsidRPr="00D05A37">
        <w:rPr>
          <w:rFonts w:cstheme="minorHAnsi"/>
          <w:sz w:val="22"/>
          <w:szCs w:val="22"/>
        </w:rPr>
        <w:t>vital to</w:t>
      </w:r>
      <w:r w:rsidR="009D6ADF" w:rsidRPr="00D05A37">
        <w:rPr>
          <w:rFonts w:cstheme="minorHAnsi"/>
          <w:sz w:val="22"/>
          <w:szCs w:val="22"/>
        </w:rPr>
        <w:t xml:space="preserve"> </w:t>
      </w:r>
      <w:r w:rsidRPr="00D05A37">
        <w:rPr>
          <w:rFonts w:cstheme="minorHAnsi"/>
          <w:sz w:val="22"/>
          <w:szCs w:val="22"/>
        </w:rPr>
        <w:t>the U.S. economy</w:t>
      </w:r>
      <w:r w:rsidR="00662A45" w:rsidRPr="00D05A37">
        <w:rPr>
          <w:rFonts w:cstheme="minorHAnsi"/>
          <w:sz w:val="22"/>
          <w:szCs w:val="22"/>
        </w:rPr>
        <w:t xml:space="preserve"> and local communities across the United States</w:t>
      </w:r>
      <w:r w:rsidRPr="00D05A37">
        <w:rPr>
          <w:rFonts w:cstheme="minorHAnsi"/>
          <w:sz w:val="22"/>
          <w:szCs w:val="22"/>
        </w:rPr>
        <w:t>.</w:t>
      </w:r>
    </w:p>
    <w:p w14:paraId="423F53E0" w14:textId="77777777" w:rsidR="00DE1DA5" w:rsidRPr="00D05A37" w:rsidRDefault="00DE1DA5" w:rsidP="00DE1DA5">
      <w:pPr>
        <w:rPr>
          <w:rFonts w:cstheme="minorHAnsi"/>
          <w:sz w:val="22"/>
          <w:szCs w:val="22"/>
        </w:rPr>
      </w:pPr>
    </w:p>
    <w:p w14:paraId="01A30811" w14:textId="4D2284FA" w:rsidR="00C03779" w:rsidRPr="00D05A37" w:rsidRDefault="00C03779" w:rsidP="00DE1DA5">
      <w:pPr>
        <w:rPr>
          <w:rFonts w:cstheme="minorHAnsi"/>
          <w:b/>
          <w:bCs/>
          <w:sz w:val="22"/>
          <w:szCs w:val="22"/>
        </w:rPr>
      </w:pPr>
      <w:r w:rsidRPr="00257D15">
        <w:rPr>
          <w:rFonts w:cstheme="minorHAnsi"/>
          <w:b/>
          <w:bCs/>
          <w:sz w:val="22"/>
          <w:szCs w:val="22"/>
          <w:highlight w:val="yellow"/>
        </w:rPr>
        <w:t>[Provide details about your organization including the nature of your business, total number of employees</w:t>
      </w:r>
      <w:r w:rsidR="009D6ADF" w:rsidRPr="00257D15">
        <w:rPr>
          <w:rFonts w:cstheme="minorHAnsi"/>
          <w:b/>
          <w:bCs/>
          <w:sz w:val="22"/>
          <w:szCs w:val="22"/>
          <w:highlight w:val="yellow"/>
        </w:rPr>
        <w:t xml:space="preserve"> (U.S. and globally)</w:t>
      </w:r>
      <w:r w:rsidR="0065694C">
        <w:rPr>
          <w:rFonts w:cstheme="minorHAnsi"/>
          <w:b/>
          <w:bCs/>
          <w:sz w:val="22"/>
          <w:szCs w:val="22"/>
          <w:highlight w:val="yellow"/>
        </w:rPr>
        <w:t>,</w:t>
      </w:r>
      <w:r w:rsidRPr="00257D15">
        <w:rPr>
          <w:rFonts w:cstheme="minorHAnsi"/>
          <w:b/>
          <w:bCs/>
          <w:sz w:val="22"/>
          <w:szCs w:val="22"/>
          <w:highlight w:val="yellow"/>
        </w:rPr>
        <w:t xml:space="preserve"> and the states in which your organization operates]</w:t>
      </w:r>
    </w:p>
    <w:p w14:paraId="50C7E548" w14:textId="77777777" w:rsidR="00C03779" w:rsidRPr="00D05A37" w:rsidRDefault="00C03779" w:rsidP="00DE1DA5">
      <w:pPr>
        <w:rPr>
          <w:rFonts w:cstheme="minorHAnsi"/>
          <w:sz w:val="22"/>
          <w:szCs w:val="22"/>
        </w:rPr>
      </w:pPr>
    </w:p>
    <w:p w14:paraId="12819D28" w14:textId="2964308C" w:rsidR="00DE1DA5" w:rsidRPr="00D05A37" w:rsidRDefault="00DE1DA5" w:rsidP="00DE1DA5">
      <w:pPr>
        <w:rPr>
          <w:rFonts w:cstheme="minorHAnsi"/>
          <w:sz w:val="22"/>
          <w:szCs w:val="22"/>
        </w:rPr>
      </w:pPr>
      <w:r w:rsidRPr="00D05A37">
        <w:rPr>
          <w:rFonts w:cstheme="minorHAnsi"/>
          <w:sz w:val="22"/>
          <w:szCs w:val="22"/>
        </w:rPr>
        <w:t>The moving expense deduction was first established by Congress in 1964 and enjoyed bipartisan support. The deduction is estimated to have provided approximately $1 billion in tax relief each year</w:t>
      </w:r>
      <w:r w:rsidR="00E41D0B" w:rsidRPr="00D05A37">
        <w:rPr>
          <w:rFonts w:cstheme="minorHAnsi"/>
          <w:sz w:val="22"/>
          <w:szCs w:val="22"/>
        </w:rPr>
        <w:t xml:space="preserve"> to U.S. taxpayers and businesses</w:t>
      </w:r>
      <w:r w:rsidRPr="00D05A37">
        <w:rPr>
          <w:rFonts w:cstheme="minorHAnsi"/>
          <w:sz w:val="22"/>
          <w:szCs w:val="22"/>
        </w:rPr>
        <w:t xml:space="preserve">. The relief is significant to those </w:t>
      </w:r>
      <w:r w:rsidR="00E41D0B" w:rsidRPr="00D05A37">
        <w:rPr>
          <w:rFonts w:cstheme="minorHAnsi"/>
          <w:sz w:val="22"/>
          <w:szCs w:val="22"/>
        </w:rPr>
        <w:t>individuals, families</w:t>
      </w:r>
      <w:r w:rsidR="0065694C">
        <w:rPr>
          <w:rFonts w:cstheme="minorHAnsi"/>
          <w:sz w:val="22"/>
          <w:szCs w:val="22"/>
        </w:rPr>
        <w:t>,</w:t>
      </w:r>
      <w:r w:rsidR="00E41D0B" w:rsidRPr="00D05A37">
        <w:rPr>
          <w:rFonts w:cstheme="minorHAnsi"/>
          <w:sz w:val="22"/>
          <w:szCs w:val="22"/>
        </w:rPr>
        <w:t xml:space="preserve"> and </w:t>
      </w:r>
      <w:r w:rsidRPr="00D05A37">
        <w:rPr>
          <w:rFonts w:cstheme="minorHAnsi"/>
          <w:sz w:val="22"/>
          <w:szCs w:val="22"/>
        </w:rPr>
        <w:t xml:space="preserve">businesses involved in a relocation but a small price to help reduce the costs of attracting workers to relocate for a job </w:t>
      </w:r>
      <w:r w:rsidR="0065694C">
        <w:rPr>
          <w:rFonts w:cstheme="minorHAnsi"/>
          <w:sz w:val="22"/>
          <w:szCs w:val="22"/>
        </w:rPr>
        <w:t>to</w:t>
      </w:r>
      <w:r w:rsidR="00E41D0B" w:rsidRPr="00D05A37">
        <w:rPr>
          <w:rFonts w:cstheme="minorHAnsi"/>
          <w:sz w:val="22"/>
          <w:szCs w:val="22"/>
        </w:rPr>
        <w:t xml:space="preserve"> improve </w:t>
      </w:r>
      <w:r w:rsidRPr="00D05A37">
        <w:rPr>
          <w:rFonts w:cstheme="minorHAnsi"/>
          <w:sz w:val="22"/>
          <w:szCs w:val="22"/>
        </w:rPr>
        <w:t xml:space="preserve">efficiencies for businesses and help </w:t>
      </w:r>
      <w:r w:rsidR="00E41D0B" w:rsidRPr="00D05A37">
        <w:rPr>
          <w:rFonts w:cstheme="minorHAnsi"/>
          <w:sz w:val="22"/>
          <w:szCs w:val="22"/>
        </w:rPr>
        <w:t>fuel the</w:t>
      </w:r>
      <w:r w:rsidRPr="00D05A37">
        <w:rPr>
          <w:rFonts w:cstheme="minorHAnsi"/>
          <w:sz w:val="22"/>
          <w:szCs w:val="22"/>
        </w:rPr>
        <w:t xml:space="preserve"> U.S. economy. </w:t>
      </w:r>
    </w:p>
    <w:p w14:paraId="4D2EE37A" w14:textId="77777777" w:rsidR="00C03779" w:rsidRPr="00D05A37" w:rsidRDefault="00C03779" w:rsidP="00DE1DA5">
      <w:pPr>
        <w:rPr>
          <w:rFonts w:cstheme="minorHAnsi"/>
          <w:sz w:val="22"/>
          <w:szCs w:val="22"/>
        </w:rPr>
      </w:pPr>
    </w:p>
    <w:p w14:paraId="676B36FF" w14:textId="13DBCF78" w:rsidR="008D705E" w:rsidRPr="00D05A37" w:rsidRDefault="00DA55AE" w:rsidP="008D705E">
      <w:pPr>
        <w:rPr>
          <w:rFonts w:cstheme="minorHAnsi"/>
          <w:sz w:val="22"/>
          <w:szCs w:val="22"/>
        </w:rPr>
      </w:pPr>
      <w:r w:rsidRPr="00D05A37">
        <w:rPr>
          <w:rFonts w:cstheme="minorHAnsi"/>
          <w:sz w:val="22"/>
          <w:szCs w:val="22"/>
        </w:rPr>
        <w:t xml:space="preserve">The U.S. employers we support rely </w:t>
      </w:r>
      <w:r w:rsidR="008D705E" w:rsidRPr="00D05A37">
        <w:rPr>
          <w:rFonts w:cstheme="minorHAnsi"/>
          <w:sz w:val="22"/>
          <w:szCs w:val="22"/>
        </w:rPr>
        <w:t xml:space="preserve">heavily on </w:t>
      </w:r>
      <w:r w:rsidRPr="00D05A37">
        <w:rPr>
          <w:rFonts w:cstheme="minorHAnsi"/>
          <w:sz w:val="22"/>
          <w:szCs w:val="22"/>
        </w:rPr>
        <w:t xml:space="preserve">their </w:t>
      </w:r>
      <w:r w:rsidR="008D705E" w:rsidRPr="00D05A37">
        <w:rPr>
          <w:rFonts w:cstheme="minorHAnsi"/>
          <w:sz w:val="22"/>
          <w:szCs w:val="22"/>
        </w:rPr>
        <w:t xml:space="preserve">ability to have a mobile workforce in which employees can relocate as necessary to meet the evolving needs of our </w:t>
      </w:r>
      <w:r w:rsidR="00E41D0B" w:rsidRPr="00D05A37">
        <w:rPr>
          <w:rFonts w:cstheme="minorHAnsi"/>
          <w:sz w:val="22"/>
          <w:szCs w:val="22"/>
        </w:rPr>
        <w:t>organization.</w:t>
      </w:r>
      <w:r w:rsidR="008D705E" w:rsidRPr="00D05A37">
        <w:rPr>
          <w:rFonts w:cstheme="minorHAnsi"/>
          <w:sz w:val="22"/>
          <w:szCs w:val="22"/>
        </w:rPr>
        <w:t xml:space="preserve"> The cost, however, for an employee to relocate to a position for which they may be uniquely suited can be a deterrent</w:t>
      </w:r>
      <w:r w:rsidR="0065694C">
        <w:rPr>
          <w:rFonts w:cstheme="minorHAnsi"/>
          <w:sz w:val="22"/>
          <w:szCs w:val="22"/>
        </w:rPr>
        <w:t>—</w:t>
      </w:r>
      <w:r w:rsidR="008D705E" w:rsidRPr="00D05A37">
        <w:rPr>
          <w:rFonts w:cstheme="minorHAnsi"/>
          <w:sz w:val="22"/>
          <w:szCs w:val="22"/>
        </w:rPr>
        <w:t>even with</w:t>
      </w:r>
      <w:r w:rsidR="00E41D0B" w:rsidRPr="00D05A37">
        <w:rPr>
          <w:rFonts w:cstheme="minorHAnsi"/>
          <w:sz w:val="22"/>
          <w:szCs w:val="22"/>
        </w:rPr>
        <w:t xml:space="preserve"> </w:t>
      </w:r>
      <w:r w:rsidR="008D705E" w:rsidRPr="00D05A37">
        <w:rPr>
          <w:rFonts w:cstheme="minorHAnsi"/>
          <w:sz w:val="22"/>
          <w:szCs w:val="22"/>
        </w:rPr>
        <w:t xml:space="preserve">financial assistance </w:t>
      </w:r>
      <w:r w:rsidRPr="00D05A37">
        <w:rPr>
          <w:rFonts w:cstheme="minorHAnsi"/>
          <w:sz w:val="22"/>
          <w:szCs w:val="22"/>
        </w:rPr>
        <w:t>from their employer</w:t>
      </w:r>
      <w:r w:rsidR="008D705E" w:rsidRPr="00D05A37">
        <w:rPr>
          <w:rFonts w:cstheme="minorHAnsi"/>
          <w:sz w:val="22"/>
          <w:szCs w:val="22"/>
        </w:rPr>
        <w:t>. The moving</w:t>
      </w:r>
      <w:r w:rsidR="0065694C">
        <w:rPr>
          <w:rFonts w:cstheme="minorHAnsi"/>
          <w:sz w:val="22"/>
          <w:szCs w:val="22"/>
        </w:rPr>
        <w:t xml:space="preserve"> expense</w:t>
      </w:r>
      <w:r w:rsidR="008D705E" w:rsidRPr="00D05A37">
        <w:rPr>
          <w:rFonts w:cstheme="minorHAnsi"/>
          <w:sz w:val="22"/>
          <w:szCs w:val="22"/>
        </w:rPr>
        <w:t xml:space="preserve"> tax deduction makes the move less costly for the employee as well as for </w:t>
      </w:r>
      <w:r w:rsidRPr="00D05A37">
        <w:rPr>
          <w:rFonts w:cstheme="minorHAnsi"/>
          <w:sz w:val="22"/>
          <w:szCs w:val="22"/>
        </w:rPr>
        <w:t xml:space="preserve">the employing company </w:t>
      </w:r>
      <w:r w:rsidR="008D705E" w:rsidRPr="00D05A37">
        <w:rPr>
          <w:rFonts w:cstheme="minorHAnsi"/>
          <w:sz w:val="22"/>
          <w:szCs w:val="22"/>
        </w:rPr>
        <w:t xml:space="preserve">and addresses the issue of </w:t>
      </w:r>
      <w:r w:rsidRPr="00D05A37">
        <w:rPr>
          <w:rFonts w:cstheme="minorHAnsi"/>
          <w:sz w:val="22"/>
          <w:szCs w:val="22"/>
        </w:rPr>
        <w:t xml:space="preserve">the company </w:t>
      </w:r>
      <w:r w:rsidR="008D705E" w:rsidRPr="00D05A37">
        <w:rPr>
          <w:rFonts w:cstheme="minorHAnsi"/>
          <w:sz w:val="22"/>
          <w:szCs w:val="22"/>
        </w:rPr>
        <w:t xml:space="preserve">having to gross up </w:t>
      </w:r>
      <w:r w:rsidR="00E41D0B" w:rsidRPr="00D05A37">
        <w:rPr>
          <w:rFonts w:cstheme="minorHAnsi"/>
          <w:sz w:val="22"/>
          <w:szCs w:val="22"/>
        </w:rPr>
        <w:t xml:space="preserve">the amount paid to the employee </w:t>
      </w:r>
      <w:r w:rsidR="008D705E" w:rsidRPr="00D05A37">
        <w:rPr>
          <w:rFonts w:cstheme="minorHAnsi"/>
          <w:sz w:val="22"/>
          <w:szCs w:val="22"/>
        </w:rPr>
        <w:t xml:space="preserve">when </w:t>
      </w:r>
      <w:r w:rsidRPr="00D05A37">
        <w:rPr>
          <w:rFonts w:cstheme="minorHAnsi"/>
          <w:sz w:val="22"/>
          <w:szCs w:val="22"/>
        </w:rPr>
        <w:t xml:space="preserve">they </w:t>
      </w:r>
      <w:r w:rsidR="008D705E" w:rsidRPr="00D05A37">
        <w:rPr>
          <w:rFonts w:cstheme="minorHAnsi"/>
          <w:sz w:val="22"/>
          <w:szCs w:val="22"/>
        </w:rPr>
        <w:t>cover the additional tax of the moving benefit.</w:t>
      </w:r>
    </w:p>
    <w:p w14:paraId="43F9F650" w14:textId="77777777" w:rsidR="008D705E" w:rsidRPr="00D05A37" w:rsidRDefault="008D705E" w:rsidP="00DE1DA5">
      <w:pPr>
        <w:rPr>
          <w:rFonts w:cstheme="minorHAnsi"/>
          <w:sz w:val="22"/>
          <w:szCs w:val="22"/>
        </w:rPr>
      </w:pPr>
    </w:p>
    <w:p w14:paraId="28C6359F" w14:textId="7FD43E25" w:rsidR="00C03779" w:rsidRPr="00D05A37" w:rsidRDefault="00C03779" w:rsidP="00C03779">
      <w:pPr>
        <w:rPr>
          <w:rFonts w:cstheme="minorHAnsi"/>
          <w:b/>
          <w:bCs/>
          <w:sz w:val="22"/>
          <w:szCs w:val="22"/>
        </w:rPr>
      </w:pPr>
      <w:r w:rsidRPr="00257D15">
        <w:rPr>
          <w:rFonts w:cstheme="minorHAnsi"/>
          <w:b/>
          <w:bCs/>
          <w:sz w:val="22"/>
          <w:szCs w:val="22"/>
          <w:highlight w:val="yellow"/>
        </w:rPr>
        <w:t>[Provide details</w:t>
      </w:r>
      <w:r w:rsidR="00DA55AE" w:rsidRPr="00257D15">
        <w:rPr>
          <w:rFonts w:cstheme="minorHAnsi"/>
          <w:b/>
          <w:bCs/>
          <w:sz w:val="22"/>
          <w:szCs w:val="22"/>
          <w:highlight w:val="yellow"/>
        </w:rPr>
        <w:t>, as appropriate and applicable,</w:t>
      </w:r>
      <w:r w:rsidRPr="00257D15">
        <w:rPr>
          <w:rFonts w:cstheme="minorHAnsi"/>
          <w:b/>
          <w:bCs/>
          <w:sz w:val="22"/>
          <w:szCs w:val="22"/>
          <w:highlight w:val="yellow"/>
        </w:rPr>
        <w:t xml:space="preserve"> of the number of employees your organization relocates each year. Also include what the financial cost of the loss of the moving tax deduction has meant for your </w:t>
      </w:r>
      <w:r w:rsidR="00DA55AE" w:rsidRPr="00257D15">
        <w:rPr>
          <w:rFonts w:cstheme="minorHAnsi"/>
          <w:b/>
          <w:bCs/>
          <w:sz w:val="22"/>
          <w:szCs w:val="22"/>
          <w:highlight w:val="yellow"/>
        </w:rPr>
        <w:t xml:space="preserve">client organizations </w:t>
      </w:r>
      <w:r w:rsidRPr="00257D15">
        <w:rPr>
          <w:rFonts w:cstheme="minorHAnsi"/>
          <w:b/>
          <w:bCs/>
          <w:sz w:val="22"/>
          <w:szCs w:val="22"/>
          <w:highlight w:val="yellow"/>
        </w:rPr>
        <w:t>and how the current loss plays negatively into decisions on relocating employee</w:t>
      </w:r>
      <w:r w:rsidR="00C270FB" w:rsidRPr="00257D15">
        <w:rPr>
          <w:rFonts w:cstheme="minorHAnsi"/>
          <w:b/>
          <w:bCs/>
          <w:sz w:val="22"/>
          <w:szCs w:val="22"/>
          <w:highlight w:val="yellow"/>
        </w:rPr>
        <w:t>s</w:t>
      </w:r>
      <w:r w:rsidR="00B005BF" w:rsidRPr="00257D15">
        <w:rPr>
          <w:rFonts w:cstheme="minorHAnsi"/>
          <w:b/>
          <w:bCs/>
          <w:sz w:val="22"/>
          <w:szCs w:val="22"/>
          <w:highlight w:val="yellow"/>
        </w:rPr>
        <w:t>.]</w:t>
      </w:r>
    </w:p>
    <w:p w14:paraId="65CACC47" w14:textId="77777777" w:rsidR="00DE1DA5" w:rsidRPr="00D05A37" w:rsidRDefault="00DE1DA5" w:rsidP="00DE1DA5">
      <w:pPr>
        <w:rPr>
          <w:rFonts w:cstheme="minorHAnsi"/>
          <w:sz w:val="22"/>
          <w:szCs w:val="22"/>
        </w:rPr>
      </w:pPr>
    </w:p>
    <w:p w14:paraId="08BEAE2C" w14:textId="72B2E091" w:rsidR="00357C1C" w:rsidRDefault="00357C1C" w:rsidP="00357C1C">
      <w:pPr>
        <w:rPr>
          <w:rFonts w:cstheme="minorHAnsi"/>
          <w:sz w:val="22"/>
          <w:szCs w:val="22"/>
        </w:rPr>
      </w:pPr>
      <w:r w:rsidRPr="00D05A37">
        <w:rPr>
          <w:rFonts w:cstheme="minorHAnsi"/>
          <w:sz w:val="22"/>
          <w:szCs w:val="22"/>
        </w:rPr>
        <w:t xml:space="preserve">As part of the Tax Cuts and Jobs Act </w:t>
      </w:r>
      <w:r w:rsidR="0065694C">
        <w:rPr>
          <w:rFonts w:cstheme="minorHAnsi"/>
          <w:sz w:val="22"/>
          <w:szCs w:val="22"/>
        </w:rPr>
        <w:t xml:space="preserve">of </w:t>
      </w:r>
      <w:r w:rsidRPr="00D05A37">
        <w:rPr>
          <w:rFonts w:cstheme="minorHAnsi"/>
          <w:sz w:val="22"/>
          <w:szCs w:val="22"/>
        </w:rPr>
        <w:t xml:space="preserve">2017, the moving expense </w:t>
      </w:r>
      <w:r w:rsidR="0065694C">
        <w:rPr>
          <w:rFonts w:cstheme="minorHAnsi"/>
          <w:sz w:val="22"/>
          <w:szCs w:val="22"/>
        </w:rPr>
        <w:t xml:space="preserve">tax </w:t>
      </w:r>
      <w:r w:rsidRPr="00D05A37">
        <w:rPr>
          <w:rFonts w:cstheme="minorHAnsi"/>
          <w:sz w:val="22"/>
          <w:szCs w:val="22"/>
        </w:rPr>
        <w:t xml:space="preserve">deduction, and the exclusion from income of moving expense payments by employers to move their employees, were suspended through December 31, 2025. The deduction and exclusion together make up a vital tax relief tool </w:t>
      </w:r>
      <w:r w:rsidRPr="00D05A37">
        <w:rPr>
          <w:rFonts w:cstheme="minorHAnsi"/>
          <w:sz w:val="22"/>
          <w:szCs w:val="22"/>
        </w:rPr>
        <w:lastRenderedPageBreak/>
        <w:t>that makes relocation for work more affordable and supports worker mobility</w:t>
      </w:r>
      <w:r w:rsidR="0065694C">
        <w:rPr>
          <w:rFonts w:cstheme="minorHAnsi"/>
          <w:sz w:val="22"/>
          <w:szCs w:val="22"/>
        </w:rPr>
        <w:t>—</w:t>
      </w:r>
      <w:r w:rsidRPr="00D05A37">
        <w:rPr>
          <w:rFonts w:cstheme="minorHAnsi"/>
          <w:sz w:val="22"/>
          <w:szCs w:val="22"/>
        </w:rPr>
        <w:t>the lynchpin of a strong economy.</w:t>
      </w:r>
    </w:p>
    <w:p w14:paraId="45583310" w14:textId="77777777" w:rsidR="00357C1C" w:rsidRPr="00D05A37" w:rsidRDefault="00357C1C" w:rsidP="00357C1C">
      <w:pPr>
        <w:rPr>
          <w:rFonts w:cstheme="minorHAnsi"/>
          <w:sz w:val="22"/>
          <w:szCs w:val="22"/>
        </w:rPr>
      </w:pPr>
    </w:p>
    <w:p w14:paraId="12E9CFE2" w14:textId="10901DCC" w:rsidR="00357C1C" w:rsidRPr="00D05A37" w:rsidRDefault="00357C1C" w:rsidP="00357C1C">
      <w:pPr>
        <w:rPr>
          <w:rFonts w:cstheme="minorHAnsi"/>
          <w:sz w:val="22"/>
          <w:szCs w:val="22"/>
        </w:rPr>
      </w:pPr>
      <w:r w:rsidRPr="00D05A37">
        <w:rPr>
          <w:rFonts w:cstheme="minorHAnsi"/>
          <w:sz w:val="22"/>
          <w:szCs w:val="22"/>
        </w:rPr>
        <w:t>Prior to its suspension</w:t>
      </w:r>
      <w:r>
        <w:rPr>
          <w:rFonts w:cstheme="minorHAnsi"/>
          <w:sz w:val="22"/>
          <w:szCs w:val="22"/>
        </w:rPr>
        <w:t xml:space="preserve">, the deduction was critically important </w:t>
      </w:r>
      <w:r w:rsidRPr="00D05A37">
        <w:rPr>
          <w:rFonts w:cstheme="minorHAnsi"/>
          <w:sz w:val="22"/>
          <w:szCs w:val="22"/>
        </w:rPr>
        <w:t xml:space="preserve">for middle- and working-class employees and their families. In 2017, </w:t>
      </w:r>
      <w:r w:rsidRPr="00D05A37">
        <w:rPr>
          <w:rFonts w:cs="Calibri"/>
          <w:sz w:val="22"/>
          <w:szCs w:val="22"/>
        </w:rPr>
        <w:t>72% of U.S. taxpayers who claimed the moving deduction earned $100,000 or less, with 42</w:t>
      </w:r>
      <w:r w:rsidR="0065694C">
        <w:rPr>
          <w:rFonts w:cs="Calibri"/>
          <w:sz w:val="22"/>
          <w:szCs w:val="22"/>
        </w:rPr>
        <w:t xml:space="preserve">% </w:t>
      </w:r>
      <w:r w:rsidRPr="00D05A37">
        <w:rPr>
          <w:rFonts w:cs="Calibri"/>
          <w:sz w:val="22"/>
          <w:szCs w:val="22"/>
        </w:rPr>
        <w:t xml:space="preserve">of all taxpayers claiming it </w:t>
      </w:r>
      <w:r w:rsidR="0065694C">
        <w:rPr>
          <w:rFonts w:cs="Calibri"/>
          <w:sz w:val="22"/>
          <w:szCs w:val="22"/>
        </w:rPr>
        <w:t>reflected</w:t>
      </w:r>
      <w:r w:rsidR="0065694C" w:rsidRPr="00D05A37">
        <w:rPr>
          <w:rFonts w:cs="Calibri"/>
          <w:sz w:val="22"/>
          <w:szCs w:val="22"/>
        </w:rPr>
        <w:t xml:space="preserve"> </w:t>
      </w:r>
      <w:r w:rsidRPr="00D05A37">
        <w:rPr>
          <w:rFonts w:cs="Calibri"/>
          <w:sz w:val="22"/>
          <w:szCs w:val="22"/>
        </w:rPr>
        <w:t>income of less than $50,000.</w:t>
      </w:r>
      <w:r w:rsidR="00744C24">
        <w:rPr>
          <w:rFonts w:cs="Calibri"/>
          <w:sz w:val="22"/>
          <w:szCs w:val="22"/>
        </w:rPr>
        <w:t xml:space="preserve"> </w:t>
      </w:r>
      <w:r w:rsidRPr="00D05A37">
        <w:rPr>
          <w:rFonts w:cs="Calibri"/>
          <w:sz w:val="22"/>
          <w:szCs w:val="22"/>
        </w:rPr>
        <w:t>Only 5</w:t>
      </w:r>
      <w:r w:rsidR="0065694C">
        <w:rPr>
          <w:rFonts w:cs="Calibri"/>
          <w:sz w:val="22"/>
          <w:szCs w:val="22"/>
        </w:rPr>
        <w:t xml:space="preserve">% </w:t>
      </w:r>
      <w:r w:rsidRPr="00D05A37">
        <w:rPr>
          <w:rFonts w:cs="Calibri"/>
          <w:sz w:val="22"/>
          <w:szCs w:val="22"/>
        </w:rPr>
        <w:t>of taxpayers claim the deduction earned over $200,000.</w:t>
      </w:r>
    </w:p>
    <w:p w14:paraId="2ED8DA88" w14:textId="77777777" w:rsidR="00357C1C" w:rsidRPr="00D05A37" w:rsidRDefault="00357C1C" w:rsidP="00357C1C">
      <w:pPr>
        <w:rPr>
          <w:rFonts w:cs="Calibri"/>
          <w:sz w:val="22"/>
          <w:szCs w:val="22"/>
        </w:rPr>
      </w:pPr>
    </w:p>
    <w:p w14:paraId="50446D8B" w14:textId="03D3DDF3" w:rsidR="00357C1C" w:rsidRPr="00D05A37" w:rsidRDefault="00357C1C" w:rsidP="00357C1C">
      <w:pPr>
        <w:rPr>
          <w:rFonts w:cs="Calibri"/>
          <w:sz w:val="22"/>
          <w:szCs w:val="22"/>
        </w:rPr>
      </w:pPr>
      <w:r w:rsidRPr="00D05A37">
        <w:rPr>
          <w:rFonts w:cs="Calibri"/>
          <w:sz w:val="22"/>
          <w:szCs w:val="22"/>
        </w:rPr>
        <w:t xml:space="preserve">Over the last seven years, the suspension of the moving deduction has resulted in unintended consequences that have hurt the American workers and their families </w:t>
      </w:r>
      <w:r w:rsidR="0065694C">
        <w:rPr>
          <w:rFonts w:cs="Calibri"/>
          <w:sz w:val="22"/>
          <w:szCs w:val="22"/>
        </w:rPr>
        <w:t>that</w:t>
      </w:r>
      <w:r w:rsidR="0065694C" w:rsidRPr="00D05A37">
        <w:rPr>
          <w:rFonts w:cs="Calibri"/>
          <w:sz w:val="22"/>
          <w:szCs w:val="22"/>
        </w:rPr>
        <w:t xml:space="preserve"> </w:t>
      </w:r>
      <w:r w:rsidRPr="00D05A37">
        <w:rPr>
          <w:rFonts w:cs="Calibri"/>
          <w:sz w:val="22"/>
          <w:szCs w:val="22"/>
        </w:rPr>
        <w:t>must move for employment purposes. These include:</w:t>
      </w:r>
    </w:p>
    <w:p w14:paraId="6C2B5B0A" w14:textId="77777777" w:rsidR="00357C1C" w:rsidRPr="00D05A37" w:rsidRDefault="00357C1C" w:rsidP="00357C1C">
      <w:pPr>
        <w:rPr>
          <w:rFonts w:cs="Calibri"/>
          <w:sz w:val="22"/>
          <w:szCs w:val="22"/>
        </w:rPr>
      </w:pPr>
    </w:p>
    <w:p w14:paraId="56507DE6" w14:textId="74F0878B" w:rsidR="00357C1C" w:rsidRPr="00D05A37" w:rsidRDefault="00357C1C" w:rsidP="009F2EB1">
      <w:pPr>
        <w:pStyle w:val="ListParagraph"/>
        <w:numPr>
          <w:ilvl w:val="0"/>
          <w:numId w:val="4"/>
        </w:numPr>
        <w:ind w:left="1080"/>
        <w:rPr>
          <w:rFonts w:cs="Calibri"/>
          <w:sz w:val="22"/>
          <w:szCs w:val="22"/>
        </w:rPr>
      </w:pPr>
      <w:r w:rsidRPr="00D05A37">
        <w:rPr>
          <w:rFonts w:cs="Calibri"/>
          <w:b/>
          <w:bCs/>
          <w:sz w:val="22"/>
          <w:szCs w:val="22"/>
        </w:rPr>
        <w:t xml:space="preserve">Inflated </w:t>
      </w:r>
      <w:r w:rsidR="0065694C">
        <w:rPr>
          <w:rFonts w:cs="Calibri"/>
          <w:b/>
          <w:bCs/>
          <w:sz w:val="22"/>
          <w:szCs w:val="22"/>
        </w:rPr>
        <w:t>t</w:t>
      </w:r>
      <w:r w:rsidRPr="00D05A37">
        <w:rPr>
          <w:rFonts w:cs="Calibri"/>
          <w:b/>
          <w:bCs/>
          <w:sz w:val="22"/>
          <w:szCs w:val="22"/>
        </w:rPr>
        <w:t xml:space="preserve">axable </w:t>
      </w:r>
      <w:r w:rsidR="0065694C">
        <w:rPr>
          <w:rFonts w:cs="Calibri"/>
          <w:b/>
          <w:bCs/>
          <w:sz w:val="22"/>
          <w:szCs w:val="22"/>
        </w:rPr>
        <w:t>i</w:t>
      </w:r>
      <w:r w:rsidRPr="00D05A37">
        <w:rPr>
          <w:rFonts w:cs="Calibri"/>
          <w:b/>
          <w:bCs/>
          <w:sz w:val="22"/>
          <w:szCs w:val="22"/>
        </w:rPr>
        <w:t xml:space="preserve">ncome </w:t>
      </w:r>
      <w:r w:rsidR="0065694C">
        <w:rPr>
          <w:rFonts w:cs="Calibri"/>
          <w:b/>
          <w:bCs/>
          <w:sz w:val="22"/>
          <w:szCs w:val="22"/>
        </w:rPr>
        <w:t>l</w:t>
      </w:r>
      <w:r w:rsidRPr="00D05A37">
        <w:rPr>
          <w:rFonts w:cs="Calibri"/>
          <w:b/>
          <w:bCs/>
          <w:sz w:val="22"/>
          <w:szCs w:val="22"/>
        </w:rPr>
        <w:t>evels</w:t>
      </w:r>
      <w:r w:rsidR="0065694C">
        <w:rPr>
          <w:rFonts w:cs="Calibri"/>
          <w:b/>
          <w:bCs/>
          <w:sz w:val="22"/>
          <w:szCs w:val="22"/>
        </w:rPr>
        <w:t xml:space="preserve"> – </w:t>
      </w:r>
      <w:r w:rsidRPr="00D05A37">
        <w:rPr>
          <w:rFonts w:cs="Calibri"/>
          <w:sz w:val="22"/>
          <w:szCs w:val="22"/>
        </w:rPr>
        <w:t>By having to treat moving-related benefits provided by the company as part of an employer-sponsored relocation as taxable income, the moving employee faces a much higher tax burden solely because they are moving for employment purposes.</w:t>
      </w:r>
      <w:r w:rsidR="00744C24">
        <w:rPr>
          <w:rFonts w:cs="Calibri"/>
          <w:sz w:val="22"/>
          <w:szCs w:val="22"/>
        </w:rPr>
        <w:t xml:space="preserve"> </w:t>
      </w:r>
      <w:r w:rsidRPr="00D05A37">
        <w:rPr>
          <w:rFonts w:cs="Calibri"/>
          <w:sz w:val="22"/>
          <w:szCs w:val="22"/>
        </w:rPr>
        <w:t xml:space="preserve">While most companies do provide their relocating </w:t>
      </w:r>
      <w:proofErr w:type="gramStart"/>
      <w:r w:rsidRPr="00D05A37">
        <w:rPr>
          <w:rFonts w:cs="Calibri"/>
          <w:sz w:val="22"/>
          <w:szCs w:val="22"/>
        </w:rPr>
        <w:t>employees</w:t>
      </w:r>
      <w:proofErr w:type="gramEnd"/>
      <w:r w:rsidRPr="00D05A37">
        <w:rPr>
          <w:rFonts w:cs="Calibri"/>
          <w:sz w:val="22"/>
          <w:szCs w:val="22"/>
        </w:rPr>
        <w:t xml:space="preserve"> additional financial support to help offset their potential tax impacts, this still results in individuals reflecting elevated income on their tax returns.</w:t>
      </w:r>
      <w:r w:rsidR="00744C24">
        <w:rPr>
          <w:rFonts w:cs="Calibri"/>
          <w:sz w:val="22"/>
          <w:szCs w:val="22"/>
        </w:rPr>
        <w:t xml:space="preserve"> </w:t>
      </w:r>
    </w:p>
    <w:p w14:paraId="68FAD6B7" w14:textId="77777777" w:rsidR="00357C1C" w:rsidRPr="00D05A37" w:rsidRDefault="00357C1C" w:rsidP="009F2EB1">
      <w:pPr>
        <w:pStyle w:val="ListParagraph"/>
        <w:ind w:left="360"/>
        <w:rPr>
          <w:rFonts w:cs="Calibri"/>
          <w:sz w:val="22"/>
          <w:szCs w:val="22"/>
        </w:rPr>
      </w:pPr>
    </w:p>
    <w:p w14:paraId="7A0C157A" w14:textId="4A8CC579" w:rsidR="00357C1C" w:rsidRPr="00D05A37" w:rsidRDefault="00357C1C" w:rsidP="009F2EB1">
      <w:pPr>
        <w:pStyle w:val="ListParagraph"/>
        <w:numPr>
          <w:ilvl w:val="0"/>
          <w:numId w:val="4"/>
        </w:numPr>
        <w:ind w:left="1080"/>
        <w:rPr>
          <w:rFonts w:cs="Calibri"/>
          <w:sz w:val="22"/>
          <w:szCs w:val="22"/>
        </w:rPr>
      </w:pPr>
      <w:r w:rsidRPr="00D05A37">
        <w:rPr>
          <w:rFonts w:cs="Calibri"/>
          <w:b/>
          <w:bCs/>
          <w:sz w:val="22"/>
          <w:szCs w:val="22"/>
        </w:rPr>
        <w:t>Unintended taxpayer ineligibility for income-related tax relief opportunities</w:t>
      </w:r>
      <w:r w:rsidRPr="00D05A37">
        <w:rPr>
          <w:rFonts w:cs="Calibri"/>
          <w:sz w:val="22"/>
          <w:szCs w:val="22"/>
        </w:rPr>
        <w:t xml:space="preserve">, </w:t>
      </w:r>
      <w:r w:rsidRPr="00D05A37">
        <w:rPr>
          <w:rFonts w:cs="Calibri"/>
          <w:b/>
          <w:bCs/>
          <w:sz w:val="22"/>
          <w:szCs w:val="22"/>
        </w:rPr>
        <w:t>notably the child tax credit</w:t>
      </w:r>
      <w:r w:rsidR="0065694C">
        <w:rPr>
          <w:rFonts w:cs="Calibri"/>
          <w:b/>
          <w:bCs/>
          <w:sz w:val="22"/>
          <w:szCs w:val="22"/>
        </w:rPr>
        <w:t xml:space="preserve"> –</w:t>
      </w:r>
      <w:r w:rsidR="00744C24">
        <w:rPr>
          <w:rFonts w:cs="Calibri"/>
          <w:sz w:val="22"/>
          <w:szCs w:val="22"/>
        </w:rPr>
        <w:t xml:space="preserve"> </w:t>
      </w:r>
      <w:r w:rsidRPr="00D05A37">
        <w:rPr>
          <w:rFonts w:cs="Calibri"/>
          <w:sz w:val="22"/>
          <w:szCs w:val="22"/>
        </w:rPr>
        <w:t xml:space="preserve">The elevated taxable income can result in a U.S. worker becoming ineligible for critical tax relief mechanisms, such as the child tax credit, that they would have otherwise qualified for if the employment-related moving expenses didn’t increase the amount and push their taxable income past the point of eligibility. </w:t>
      </w:r>
    </w:p>
    <w:p w14:paraId="311AFF9A" w14:textId="77777777" w:rsidR="00DE1DA5" w:rsidRPr="00D05A37" w:rsidRDefault="00DE1DA5" w:rsidP="00D05A37">
      <w:pPr>
        <w:pStyle w:val="ListParagraph"/>
        <w:rPr>
          <w:rFonts w:cstheme="minorHAnsi"/>
          <w:bCs/>
          <w:sz w:val="22"/>
          <w:szCs w:val="22"/>
        </w:rPr>
      </w:pPr>
    </w:p>
    <w:p w14:paraId="73CC889D" w14:textId="0A2B3506" w:rsidR="00DE1DA5" w:rsidRPr="00D05A37" w:rsidRDefault="00DE1DA5" w:rsidP="00DE1DA5">
      <w:pPr>
        <w:rPr>
          <w:rFonts w:cstheme="minorHAnsi"/>
          <w:bCs/>
          <w:sz w:val="22"/>
          <w:szCs w:val="22"/>
        </w:rPr>
      </w:pPr>
      <w:r w:rsidRPr="00D05A37">
        <w:rPr>
          <w:rFonts w:cstheme="minorHAnsi"/>
          <w:bCs/>
          <w:sz w:val="22"/>
          <w:szCs w:val="22"/>
        </w:rPr>
        <w:t xml:space="preserve">By reinstating the moving tax expense deduction, </w:t>
      </w:r>
      <w:r w:rsidR="00E41D0B" w:rsidRPr="00D05A37">
        <w:rPr>
          <w:rFonts w:cstheme="minorHAnsi"/>
          <w:bCs/>
          <w:sz w:val="22"/>
          <w:szCs w:val="22"/>
        </w:rPr>
        <w:t xml:space="preserve">Congress will again provide </w:t>
      </w:r>
      <w:r w:rsidR="0065694C">
        <w:rPr>
          <w:rFonts w:cstheme="minorHAnsi"/>
          <w:sz w:val="22"/>
          <w:szCs w:val="22"/>
        </w:rPr>
        <w:t>middle-class</w:t>
      </w:r>
      <w:r w:rsidR="00E41D0B" w:rsidRPr="00D05A37">
        <w:rPr>
          <w:rFonts w:cstheme="minorHAnsi"/>
          <w:sz w:val="22"/>
          <w:szCs w:val="22"/>
        </w:rPr>
        <w:t xml:space="preserve"> workers and families as well as the businesses that relocate their employees with critical tax relief and </w:t>
      </w:r>
      <w:r w:rsidR="00103856" w:rsidRPr="00D05A37">
        <w:rPr>
          <w:rFonts w:cstheme="minorHAnsi"/>
          <w:sz w:val="22"/>
          <w:szCs w:val="22"/>
        </w:rPr>
        <w:t>help offset the cost of individuals and entire families relocating for work.</w:t>
      </w:r>
    </w:p>
    <w:p w14:paraId="08A1EECB" w14:textId="77777777" w:rsidR="00DE1DA5" w:rsidRPr="00D05A37" w:rsidRDefault="00DE1DA5" w:rsidP="00DE1DA5">
      <w:pPr>
        <w:rPr>
          <w:rFonts w:cstheme="minorHAnsi"/>
          <w:bCs/>
          <w:sz w:val="22"/>
          <w:szCs w:val="22"/>
        </w:rPr>
      </w:pPr>
    </w:p>
    <w:p w14:paraId="432A809D" w14:textId="324A0037" w:rsidR="000276F5" w:rsidRPr="00D05A37" w:rsidRDefault="000276F5" w:rsidP="000276F5">
      <w:pPr>
        <w:rPr>
          <w:sz w:val="22"/>
          <w:szCs w:val="22"/>
        </w:rPr>
      </w:pPr>
      <w:r w:rsidRPr="00D05A37">
        <w:rPr>
          <w:sz w:val="22"/>
          <w:szCs w:val="22"/>
        </w:rPr>
        <w:t xml:space="preserve">Thank you for your consideration of </w:t>
      </w:r>
      <w:r>
        <w:rPr>
          <w:sz w:val="22"/>
          <w:szCs w:val="22"/>
        </w:rPr>
        <w:t xml:space="preserve">our request for reinstatement of the moving expense </w:t>
      </w:r>
      <w:r w:rsidR="00744C24">
        <w:rPr>
          <w:sz w:val="22"/>
          <w:szCs w:val="22"/>
        </w:rPr>
        <w:t xml:space="preserve">tax </w:t>
      </w:r>
      <w:r>
        <w:rPr>
          <w:sz w:val="22"/>
          <w:szCs w:val="22"/>
        </w:rPr>
        <w:t>deduction</w:t>
      </w:r>
      <w:r w:rsidRPr="00D05A37">
        <w:rPr>
          <w:sz w:val="22"/>
          <w:szCs w:val="22"/>
        </w:rPr>
        <w:t>.</w:t>
      </w:r>
    </w:p>
    <w:p w14:paraId="67C1CA59" w14:textId="77777777" w:rsidR="008D705E" w:rsidRPr="00D05A37" w:rsidRDefault="008D705E">
      <w:pPr>
        <w:rPr>
          <w:sz w:val="22"/>
          <w:szCs w:val="22"/>
        </w:rPr>
      </w:pPr>
    </w:p>
    <w:p w14:paraId="16371134" w14:textId="7E575B2E" w:rsidR="008D705E" w:rsidRPr="00D05A37" w:rsidRDefault="008B6B27">
      <w:pPr>
        <w:rPr>
          <w:sz w:val="22"/>
          <w:szCs w:val="22"/>
        </w:rPr>
      </w:pPr>
      <w:r w:rsidRPr="00D05A37">
        <w:rPr>
          <w:sz w:val="22"/>
          <w:szCs w:val="22"/>
        </w:rPr>
        <w:t>Sincerely,</w:t>
      </w:r>
    </w:p>
    <w:p w14:paraId="1D33F597" w14:textId="77777777" w:rsidR="008B6B27" w:rsidRPr="00D05A37" w:rsidRDefault="008B6B27">
      <w:pPr>
        <w:rPr>
          <w:sz w:val="22"/>
          <w:szCs w:val="22"/>
        </w:rPr>
      </w:pPr>
    </w:p>
    <w:p w14:paraId="6F09D903" w14:textId="0BDB19EA" w:rsidR="008B6B27" w:rsidRPr="00257D15" w:rsidRDefault="008B6B27">
      <w:pPr>
        <w:rPr>
          <w:b/>
          <w:bCs/>
          <w:sz w:val="22"/>
          <w:szCs w:val="22"/>
          <w:highlight w:val="yellow"/>
        </w:rPr>
      </w:pPr>
      <w:r w:rsidRPr="00257D15">
        <w:rPr>
          <w:b/>
          <w:bCs/>
          <w:sz w:val="22"/>
          <w:szCs w:val="22"/>
          <w:highlight w:val="yellow"/>
        </w:rPr>
        <w:t>[Your Name]</w:t>
      </w:r>
    </w:p>
    <w:p w14:paraId="5E52AE0E" w14:textId="04C53798" w:rsidR="008B6B27" w:rsidRPr="00257D15" w:rsidRDefault="008B6B27">
      <w:pPr>
        <w:rPr>
          <w:b/>
          <w:bCs/>
          <w:sz w:val="22"/>
          <w:szCs w:val="22"/>
          <w:highlight w:val="yellow"/>
        </w:rPr>
      </w:pPr>
      <w:r w:rsidRPr="00257D15">
        <w:rPr>
          <w:b/>
          <w:bCs/>
          <w:sz w:val="22"/>
          <w:szCs w:val="22"/>
          <w:highlight w:val="yellow"/>
        </w:rPr>
        <w:t>[Organization Name]</w:t>
      </w:r>
    </w:p>
    <w:p w14:paraId="639ECBFC" w14:textId="1CA85EB1" w:rsidR="008B6B27" w:rsidRDefault="008B6B27">
      <w:pPr>
        <w:rPr>
          <w:b/>
          <w:bCs/>
          <w:sz w:val="22"/>
          <w:szCs w:val="22"/>
        </w:rPr>
      </w:pPr>
      <w:r w:rsidRPr="00257D15">
        <w:rPr>
          <w:b/>
          <w:bCs/>
          <w:sz w:val="22"/>
          <w:szCs w:val="22"/>
          <w:highlight w:val="yellow"/>
        </w:rPr>
        <w:t>[Address]</w:t>
      </w:r>
    </w:p>
    <w:p w14:paraId="455BE57B" w14:textId="77777777" w:rsidR="00357C1C" w:rsidRDefault="00357C1C">
      <w:pPr>
        <w:rPr>
          <w:b/>
          <w:bCs/>
          <w:sz w:val="22"/>
          <w:szCs w:val="22"/>
        </w:rPr>
      </w:pPr>
    </w:p>
    <w:p w14:paraId="1329E6B4" w14:textId="77777777" w:rsidR="00257D15" w:rsidRDefault="00257D15">
      <w:pPr>
        <w:rPr>
          <w:b/>
          <w:bCs/>
          <w:sz w:val="22"/>
          <w:szCs w:val="22"/>
        </w:rPr>
      </w:pPr>
    </w:p>
    <w:p w14:paraId="7206BA7B" w14:textId="77777777" w:rsidR="00257D15" w:rsidRDefault="00257D15">
      <w:pPr>
        <w:rPr>
          <w:b/>
          <w:bCs/>
          <w:sz w:val="22"/>
          <w:szCs w:val="22"/>
        </w:rPr>
      </w:pPr>
    </w:p>
    <w:p w14:paraId="619F57A1" w14:textId="77777777" w:rsidR="00257D15" w:rsidRDefault="00257D15">
      <w:pPr>
        <w:rPr>
          <w:b/>
          <w:bCs/>
          <w:sz w:val="22"/>
          <w:szCs w:val="22"/>
        </w:rPr>
      </w:pPr>
    </w:p>
    <w:p w14:paraId="2BA37385" w14:textId="77777777" w:rsidR="00257D15" w:rsidRDefault="00257D15">
      <w:pPr>
        <w:rPr>
          <w:b/>
          <w:bCs/>
          <w:sz w:val="22"/>
          <w:szCs w:val="22"/>
        </w:rPr>
      </w:pPr>
    </w:p>
    <w:p w14:paraId="0C80CA64" w14:textId="77777777" w:rsidR="00257D15" w:rsidRDefault="00257D15">
      <w:pPr>
        <w:rPr>
          <w:b/>
          <w:bCs/>
          <w:sz w:val="22"/>
          <w:szCs w:val="22"/>
        </w:rPr>
      </w:pPr>
    </w:p>
    <w:p w14:paraId="2F8B59F2" w14:textId="77777777" w:rsidR="00257D15" w:rsidRDefault="00257D15">
      <w:pPr>
        <w:rPr>
          <w:b/>
          <w:bCs/>
          <w:sz w:val="22"/>
          <w:szCs w:val="22"/>
        </w:rPr>
      </w:pPr>
    </w:p>
    <w:p w14:paraId="5F3FAC62" w14:textId="77777777" w:rsidR="00257D15" w:rsidRDefault="00257D15">
      <w:pPr>
        <w:rPr>
          <w:b/>
          <w:bCs/>
          <w:sz w:val="22"/>
          <w:szCs w:val="22"/>
        </w:rPr>
      </w:pPr>
    </w:p>
    <w:p w14:paraId="2BAA97FD" w14:textId="77777777" w:rsidR="00257D15" w:rsidRDefault="00257D15">
      <w:pPr>
        <w:rPr>
          <w:b/>
          <w:bCs/>
          <w:sz w:val="22"/>
          <w:szCs w:val="22"/>
        </w:rPr>
      </w:pPr>
    </w:p>
    <w:p w14:paraId="66BBF728" w14:textId="77777777" w:rsidR="00257D15" w:rsidRDefault="00257D15">
      <w:pPr>
        <w:rPr>
          <w:b/>
          <w:bCs/>
          <w:sz w:val="22"/>
          <w:szCs w:val="22"/>
        </w:rPr>
      </w:pPr>
    </w:p>
    <w:p w14:paraId="770CFCFF" w14:textId="77777777" w:rsidR="00257D15" w:rsidRDefault="00257D15">
      <w:pPr>
        <w:rPr>
          <w:b/>
          <w:bCs/>
          <w:sz w:val="22"/>
          <w:szCs w:val="22"/>
        </w:rPr>
      </w:pPr>
    </w:p>
    <w:p w14:paraId="2976EA60" w14:textId="77777777" w:rsidR="00257D15" w:rsidRDefault="00257D15">
      <w:pPr>
        <w:rPr>
          <w:b/>
          <w:bCs/>
          <w:sz w:val="22"/>
          <w:szCs w:val="22"/>
        </w:rPr>
      </w:pPr>
    </w:p>
    <w:p w14:paraId="6B040775" w14:textId="77777777" w:rsidR="00257D15" w:rsidRDefault="00257D15">
      <w:pPr>
        <w:rPr>
          <w:b/>
          <w:bCs/>
          <w:sz w:val="22"/>
          <w:szCs w:val="22"/>
        </w:rPr>
      </w:pPr>
    </w:p>
    <w:p w14:paraId="31D2E5D2" w14:textId="77777777" w:rsidR="00257D15" w:rsidRDefault="00257D15">
      <w:pPr>
        <w:rPr>
          <w:b/>
          <w:bCs/>
          <w:sz w:val="22"/>
          <w:szCs w:val="22"/>
        </w:rPr>
      </w:pPr>
    </w:p>
    <w:p w14:paraId="04F5420A" w14:textId="7D87AD1A" w:rsidR="00357C1C" w:rsidRPr="00B005BF" w:rsidRDefault="00357C1C">
      <w:pPr>
        <w:rPr>
          <w:b/>
          <w:bCs/>
          <w:sz w:val="22"/>
          <w:szCs w:val="22"/>
          <w:u w:val="single"/>
        </w:rPr>
      </w:pPr>
      <w:r w:rsidRPr="00B005BF">
        <w:rPr>
          <w:b/>
          <w:bCs/>
          <w:sz w:val="22"/>
          <w:szCs w:val="22"/>
          <w:u w:val="single"/>
        </w:rPr>
        <w:t>Talent Mobility Professional Individual Submission – Service Provider</w:t>
      </w:r>
    </w:p>
    <w:p w14:paraId="3DE5EAE1" w14:textId="77777777" w:rsidR="00357C1C" w:rsidRDefault="00357C1C">
      <w:pPr>
        <w:rPr>
          <w:b/>
          <w:bCs/>
          <w:sz w:val="22"/>
          <w:szCs w:val="22"/>
        </w:rPr>
      </w:pPr>
    </w:p>
    <w:p w14:paraId="6A39387D" w14:textId="0CEFFDF2" w:rsidR="00357C1C" w:rsidRPr="00D05A37" w:rsidRDefault="00357C1C" w:rsidP="00357C1C">
      <w:pPr>
        <w:rPr>
          <w:rFonts w:cstheme="minorHAnsi"/>
          <w:sz w:val="22"/>
          <w:szCs w:val="22"/>
        </w:rPr>
      </w:pPr>
      <w:r w:rsidRPr="007F64B6">
        <w:rPr>
          <w:rFonts w:cstheme="minorHAnsi"/>
          <w:sz w:val="22"/>
          <w:szCs w:val="22"/>
          <w:u w:val="single"/>
        </w:rPr>
        <w:t>Subject Line of Email:</w:t>
      </w:r>
      <w:r w:rsidR="00744C24">
        <w:rPr>
          <w:rFonts w:cstheme="minorHAnsi"/>
          <w:sz w:val="22"/>
          <w:szCs w:val="22"/>
        </w:rPr>
        <w:t xml:space="preserve"> </w:t>
      </w:r>
      <w:r>
        <w:rPr>
          <w:rFonts w:cstheme="minorHAnsi"/>
          <w:sz w:val="22"/>
          <w:szCs w:val="22"/>
        </w:rPr>
        <w:t xml:space="preserve">Support American workers and employers by reinstating the </w:t>
      </w:r>
      <w:r w:rsidR="0065694C">
        <w:rPr>
          <w:rFonts w:cstheme="minorHAnsi"/>
          <w:sz w:val="22"/>
          <w:szCs w:val="22"/>
        </w:rPr>
        <w:t>moving expense tax deduction</w:t>
      </w:r>
    </w:p>
    <w:p w14:paraId="30390FDE" w14:textId="77777777" w:rsidR="00357C1C" w:rsidRDefault="00357C1C" w:rsidP="00357C1C">
      <w:pPr>
        <w:rPr>
          <w:rFonts w:cstheme="minorHAnsi"/>
          <w:sz w:val="22"/>
          <w:szCs w:val="22"/>
        </w:rPr>
      </w:pPr>
    </w:p>
    <w:p w14:paraId="1822862D" w14:textId="0D0B9C56" w:rsidR="00357C1C" w:rsidRPr="007F64B6" w:rsidRDefault="00357C1C" w:rsidP="00357C1C">
      <w:pPr>
        <w:rPr>
          <w:rFonts w:cstheme="minorHAnsi"/>
          <w:sz w:val="22"/>
          <w:szCs w:val="22"/>
          <w:u w:val="single"/>
        </w:rPr>
      </w:pPr>
      <w:r w:rsidRPr="007F64B6">
        <w:rPr>
          <w:rFonts w:cstheme="minorHAnsi"/>
          <w:sz w:val="22"/>
          <w:szCs w:val="22"/>
          <w:u w:val="single"/>
        </w:rPr>
        <w:t xml:space="preserve">Text of </w:t>
      </w:r>
      <w:r w:rsidR="007E0D85">
        <w:rPr>
          <w:rFonts w:cstheme="minorHAnsi"/>
          <w:sz w:val="22"/>
          <w:szCs w:val="22"/>
          <w:u w:val="single"/>
        </w:rPr>
        <w:t>message</w:t>
      </w:r>
      <w:r w:rsidRPr="007F64B6">
        <w:rPr>
          <w:rFonts w:cstheme="minorHAnsi"/>
          <w:sz w:val="22"/>
          <w:szCs w:val="22"/>
          <w:u w:val="single"/>
        </w:rPr>
        <w:t xml:space="preserve"> to </w:t>
      </w:r>
      <w:r w:rsidR="007E0D85">
        <w:rPr>
          <w:rFonts w:cstheme="minorHAnsi"/>
          <w:sz w:val="22"/>
          <w:szCs w:val="22"/>
          <w:u w:val="single"/>
        </w:rPr>
        <w:t>include in</w:t>
      </w:r>
      <w:r w:rsidRPr="007F64B6">
        <w:rPr>
          <w:rFonts w:cstheme="minorHAnsi"/>
          <w:sz w:val="22"/>
          <w:szCs w:val="22"/>
          <w:u w:val="single"/>
        </w:rPr>
        <w:t xml:space="preserve"> email</w:t>
      </w:r>
      <w:r w:rsidR="007E0D85">
        <w:rPr>
          <w:rFonts w:cstheme="minorHAnsi"/>
          <w:sz w:val="22"/>
          <w:szCs w:val="22"/>
          <w:u w:val="single"/>
        </w:rPr>
        <w:t>/letter</w:t>
      </w:r>
      <w:r w:rsidRPr="007F64B6">
        <w:rPr>
          <w:rFonts w:cstheme="minorHAnsi"/>
          <w:sz w:val="22"/>
          <w:szCs w:val="22"/>
          <w:u w:val="single"/>
        </w:rPr>
        <w:t>:</w:t>
      </w:r>
    </w:p>
    <w:p w14:paraId="039E47E8" w14:textId="77777777" w:rsidR="00357C1C" w:rsidRDefault="00357C1C">
      <w:pPr>
        <w:rPr>
          <w:b/>
          <w:bCs/>
          <w:sz w:val="22"/>
          <w:szCs w:val="22"/>
        </w:rPr>
      </w:pPr>
    </w:p>
    <w:p w14:paraId="370AEC2F" w14:textId="1BE91726" w:rsidR="00357C1C" w:rsidRPr="00D05A37" w:rsidRDefault="00357C1C" w:rsidP="00357C1C">
      <w:pPr>
        <w:rPr>
          <w:rFonts w:cstheme="minorHAnsi"/>
          <w:sz w:val="22"/>
          <w:szCs w:val="22"/>
        </w:rPr>
      </w:pPr>
      <w:r w:rsidRPr="00D05A37">
        <w:rPr>
          <w:rFonts w:cstheme="minorHAnsi"/>
          <w:sz w:val="22"/>
          <w:szCs w:val="22"/>
        </w:rPr>
        <w:t xml:space="preserve">Dear </w:t>
      </w:r>
      <w:r w:rsidR="00257D15" w:rsidRPr="000276F5">
        <w:rPr>
          <w:rFonts w:cstheme="minorHAnsi"/>
          <w:b/>
          <w:bCs/>
          <w:sz w:val="22"/>
          <w:szCs w:val="22"/>
          <w:highlight w:val="yellow"/>
        </w:rPr>
        <w:t>[</w:t>
      </w:r>
      <w:r w:rsidRPr="000276F5">
        <w:rPr>
          <w:rFonts w:cstheme="minorHAnsi"/>
          <w:b/>
          <w:bCs/>
          <w:sz w:val="22"/>
          <w:szCs w:val="22"/>
          <w:highlight w:val="yellow"/>
        </w:rPr>
        <w:t>Representative/Senator</w:t>
      </w:r>
      <w:r w:rsidR="00257D15" w:rsidRPr="000276F5">
        <w:rPr>
          <w:rFonts w:cstheme="minorHAnsi"/>
          <w:b/>
          <w:bCs/>
          <w:sz w:val="22"/>
          <w:szCs w:val="22"/>
          <w:highlight w:val="yellow"/>
        </w:rPr>
        <w:t>]</w:t>
      </w:r>
      <w:r w:rsidRPr="00D05A37">
        <w:rPr>
          <w:rFonts w:cstheme="minorHAnsi"/>
          <w:sz w:val="22"/>
          <w:szCs w:val="22"/>
        </w:rPr>
        <w:t>,</w:t>
      </w:r>
    </w:p>
    <w:p w14:paraId="391388B6" w14:textId="77777777" w:rsidR="00357C1C" w:rsidRPr="00D05A37" w:rsidRDefault="00357C1C" w:rsidP="00357C1C">
      <w:pPr>
        <w:rPr>
          <w:rFonts w:cstheme="minorHAnsi"/>
          <w:sz w:val="22"/>
          <w:szCs w:val="22"/>
        </w:rPr>
      </w:pPr>
    </w:p>
    <w:p w14:paraId="3D708C74" w14:textId="0D1047C1" w:rsidR="00357C1C" w:rsidRPr="00D05A37" w:rsidRDefault="00357C1C" w:rsidP="00357C1C">
      <w:pPr>
        <w:rPr>
          <w:rFonts w:cstheme="minorHAnsi"/>
          <w:sz w:val="22"/>
          <w:szCs w:val="22"/>
        </w:rPr>
      </w:pPr>
      <w:bookmarkStart w:id="2" w:name="_Hlk184130815"/>
      <w:r>
        <w:rPr>
          <w:rFonts w:cstheme="minorHAnsi"/>
          <w:sz w:val="22"/>
          <w:szCs w:val="22"/>
        </w:rPr>
        <w:t>As a constituent</w:t>
      </w:r>
      <w:r w:rsidR="00257D15">
        <w:rPr>
          <w:rFonts w:cstheme="minorHAnsi"/>
          <w:sz w:val="22"/>
          <w:szCs w:val="22"/>
        </w:rPr>
        <w:t xml:space="preserve"> of your </w:t>
      </w:r>
      <w:r w:rsidR="00257D15" w:rsidRPr="00257D15">
        <w:rPr>
          <w:rFonts w:cstheme="minorHAnsi"/>
          <w:b/>
          <w:bCs/>
          <w:sz w:val="22"/>
          <w:szCs w:val="22"/>
          <w:highlight w:val="yellow"/>
        </w:rPr>
        <w:t>[district/state]</w:t>
      </w:r>
      <w:r w:rsidR="00B005BF" w:rsidRPr="00257D15">
        <w:rPr>
          <w:rFonts w:cstheme="minorHAnsi"/>
          <w:b/>
          <w:bCs/>
          <w:sz w:val="22"/>
          <w:szCs w:val="22"/>
        </w:rPr>
        <w:t xml:space="preserve"> </w:t>
      </w:r>
      <w:r w:rsidR="00B005BF">
        <w:rPr>
          <w:rFonts w:cstheme="minorHAnsi"/>
          <w:sz w:val="22"/>
          <w:szCs w:val="22"/>
        </w:rPr>
        <w:t>working within the talent mobility industry to support employers moving their employees across the United States and around the wor</w:t>
      </w:r>
      <w:r w:rsidR="00257D15">
        <w:rPr>
          <w:rFonts w:cstheme="minorHAnsi"/>
          <w:sz w:val="22"/>
          <w:szCs w:val="22"/>
        </w:rPr>
        <w:t>ld</w:t>
      </w:r>
      <w:r w:rsidR="00B005BF">
        <w:rPr>
          <w:rFonts w:cstheme="minorHAnsi"/>
          <w:sz w:val="22"/>
          <w:szCs w:val="22"/>
        </w:rPr>
        <w:t>, I strongly</w:t>
      </w:r>
      <w:r w:rsidRPr="00D05A37">
        <w:rPr>
          <w:rFonts w:cstheme="minorHAnsi"/>
          <w:sz w:val="22"/>
          <w:szCs w:val="22"/>
        </w:rPr>
        <w:t xml:space="preserve"> support the reinstatement of the moving expense tax deduction and exclusion</w:t>
      </w:r>
      <w:r w:rsidR="00257D15">
        <w:rPr>
          <w:rFonts w:cstheme="minorHAnsi"/>
          <w:sz w:val="22"/>
          <w:szCs w:val="22"/>
        </w:rPr>
        <w:t xml:space="preserve"> at the end of 2025</w:t>
      </w:r>
      <w:r w:rsidRPr="00D05A37">
        <w:rPr>
          <w:rFonts w:cstheme="minorHAnsi"/>
          <w:sz w:val="22"/>
          <w:szCs w:val="22"/>
        </w:rPr>
        <w:t>.</w:t>
      </w:r>
      <w:bookmarkEnd w:id="2"/>
      <w:r w:rsidRPr="00D05A37">
        <w:rPr>
          <w:rFonts w:cstheme="minorHAnsi"/>
          <w:sz w:val="22"/>
          <w:szCs w:val="22"/>
        </w:rPr>
        <w:t xml:space="preserve"> This important tax deduction and exclusion will again provide critical tax relief for </w:t>
      </w:r>
      <w:r w:rsidR="0065694C">
        <w:rPr>
          <w:rFonts w:cstheme="minorHAnsi"/>
          <w:sz w:val="22"/>
          <w:szCs w:val="22"/>
        </w:rPr>
        <w:t>middle-class</w:t>
      </w:r>
      <w:r w:rsidRPr="00D05A37">
        <w:rPr>
          <w:rFonts w:cstheme="minorHAnsi"/>
          <w:sz w:val="22"/>
          <w:szCs w:val="22"/>
        </w:rPr>
        <w:t xml:space="preserve"> workers and families as well as the businesses that support the relocation of employees around the country and world and which are vital to the U.S. economy and local communities across the United States.</w:t>
      </w:r>
    </w:p>
    <w:p w14:paraId="21C90BEB" w14:textId="77777777" w:rsidR="00357C1C" w:rsidRPr="00D05A37" w:rsidRDefault="00357C1C" w:rsidP="00357C1C">
      <w:pPr>
        <w:rPr>
          <w:rFonts w:cstheme="minorHAnsi"/>
          <w:sz w:val="22"/>
          <w:szCs w:val="22"/>
        </w:rPr>
      </w:pPr>
    </w:p>
    <w:p w14:paraId="38DAFEAD" w14:textId="449C0BC1" w:rsidR="00357C1C" w:rsidRPr="00D05A37" w:rsidRDefault="00357C1C" w:rsidP="00357C1C">
      <w:pPr>
        <w:rPr>
          <w:rFonts w:cstheme="minorHAnsi"/>
          <w:b/>
          <w:bCs/>
          <w:sz w:val="22"/>
          <w:szCs w:val="22"/>
        </w:rPr>
      </w:pPr>
      <w:bookmarkStart w:id="3" w:name="_Hlk184130921"/>
      <w:r w:rsidRPr="00257D15">
        <w:rPr>
          <w:rFonts w:cstheme="minorHAnsi"/>
          <w:b/>
          <w:bCs/>
          <w:sz w:val="22"/>
          <w:szCs w:val="22"/>
          <w:highlight w:val="yellow"/>
        </w:rPr>
        <w:t>[</w:t>
      </w:r>
      <w:r w:rsidR="00B005BF" w:rsidRPr="00257D15">
        <w:rPr>
          <w:rFonts w:cstheme="minorHAnsi"/>
          <w:b/>
          <w:bCs/>
          <w:sz w:val="22"/>
          <w:szCs w:val="22"/>
          <w:highlight w:val="yellow"/>
        </w:rPr>
        <w:t>If possible and applicable, p</w:t>
      </w:r>
      <w:r w:rsidRPr="00257D15">
        <w:rPr>
          <w:rFonts w:cstheme="minorHAnsi"/>
          <w:b/>
          <w:bCs/>
          <w:sz w:val="22"/>
          <w:szCs w:val="22"/>
          <w:highlight w:val="yellow"/>
        </w:rPr>
        <w:t>rovide</w:t>
      </w:r>
      <w:bookmarkEnd w:id="3"/>
      <w:r w:rsidRPr="00257D15">
        <w:rPr>
          <w:rFonts w:cstheme="minorHAnsi"/>
          <w:b/>
          <w:bCs/>
          <w:sz w:val="22"/>
          <w:szCs w:val="22"/>
          <w:highlight w:val="yellow"/>
        </w:rPr>
        <w:t xml:space="preserve"> details about </w:t>
      </w:r>
      <w:r w:rsidR="00B005BF" w:rsidRPr="00257D15">
        <w:rPr>
          <w:rFonts w:cstheme="minorHAnsi"/>
          <w:b/>
          <w:bCs/>
          <w:sz w:val="22"/>
          <w:szCs w:val="22"/>
          <w:highlight w:val="yellow"/>
        </w:rPr>
        <w:t xml:space="preserve">the organization you work for, </w:t>
      </w:r>
      <w:r w:rsidRPr="00257D15">
        <w:rPr>
          <w:rFonts w:cstheme="minorHAnsi"/>
          <w:b/>
          <w:bCs/>
          <w:sz w:val="22"/>
          <w:szCs w:val="22"/>
          <w:highlight w:val="yellow"/>
        </w:rPr>
        <w:t>including the nature of your business, total number of employees (U.S. and globally)</w:t>
      </w:r>
      <w:r w:rsidR="0065694C">
        <w:rPr>
          <w:rFonts w:cstheme="minorHAnsi"/>
          <w:b/>
          <w:bCs/>
          <w:sz w:val="22"/>
          <w:szCs w:val="22"/>
          <w:highlight w:val="yellow"/>
        </w:rPr>
        <w:t>,</w:t>
      </w:r>
      <w:r w:rsidRPr="00257D15">
        <w:rPr>
          <w:rFonts w:cstheme="minorHAnsi"/>
          <w:b/>
          <w:bCs/>
          <w:sz w:val="22"/>
          <w:szCs w:val="22"/>
          <w:highlight w:val="yellow"/>
        </w:rPr>
        <w:t xml:space="preserve"> and the states in which your organization operates</w:t>
      </w:r>
      <w:r w:rsidR="000276F5">
        <w:rPr>
          <w:rFonts w:cstheme="minorHAnsi"/>
          <w:b/>
          <w:bCs/>
          <w:sz w:val="22"/>
          <w:szCs w:val="22"/>
          <w:highlight w:val="yellow"/>
        </w:rPr>
        <w:t>.</w:t>
      </w:r>
      <w:r w:rsidRPr="00257D15">
        <w:rPr>
          <w:rFonts w:cstheme="minorHAnsi"/>
          <w:b/>
          <w:bCs/>
          <w:sz w:val="22"/>
          <w:szCs w:val="22"/>
          <w:highlight w:val="yellow"/>
        </w:rPr>
        <w:t>]</w:t>
      </w:r>
    </w:p>
    <w:p w14:paraId="4469178D" w14:textId="77777777" w:rsidR="00357C1C" w:rsidRPr="00D05A37" w:rsidRDefault="00357C1C" w:rsidP="00357C1C">
      <w:pPr>
        <w:rPr>
          <w:rFonts w:cstheme="minorHAnsi"/>
          <w:sz w:val="22"/>
          <w:szCs w:val="22"/>
        </w:rPr>
      </w:pPr>
    </w:p>
    <w:p w14:paraId="0EB95ADC" w14:textId="68595A25" w:rsidR="00357C1C" w:rsidRPr="00D05A37" w:rsidRDefault="00357C1C" w:rsidP="00357C1C">
      <w:pPr>
        <w:rPr>
          <w:rFonts w:cstheme="minorHAnsi"/>
          <w:sz w:val="22"/>
          <w:szCs w:val="22"/>
        </w:rPr>
      </w:pPr>
      <w:r w:rsidRPr="00D05A37">
        <w:rPr>
          <w:rFonts w:cstheme="minorHAnsi"/>
          <w:sz w:val="22"/>
          <w:szCs w:val="22"/>
        </w:rPr>
        <w:t>The moving expense deduction was first established by Congress in 1964 and enjoyed bipartisan support. The deduction is estimated to have provided approximately $1 billion in tax relief each year to U.S. taxpayers and businesses. The relief is significant to those individuals, families</w:t>
      </w:r>
      <w:r w:rsidR="0065694C">
        <w:rPr>
          <w:rFonts w:cstheme="minorHAnsi"/>
          <w:sz w:val="22"/>
          <w:szCs w:val="22"/>
        </w:rPr>
        <w:t>,</w:t>
      </w:r>
      <w:r w:rsidRPr="00D05A37">
        <w:rPr>
          <w:rFonts w:cstheme="minorHAnsi"/>
          <w:sz w:val="22"/>
          <w:szCs w:val="22"/>
        </w:rPr>
        <w:t xml:space="preserve"> and businesses involved in a relocation but a small price to help reduce the costs of attracting workers to relocate for a job </w:t>
      </w:r>
      <w:r w:rsidR="0065694C">
        <w:rPr>
          <w:rFonts w:cstheme="minorHAnsi"/>
          <w:sz w:val="22"/>
          <w:szCs w:val="22"/>
        </w:rPr>
        <w:t>to</w:t>
      </w:r>
      <w:r w:rsidRPr="00D05A37">
        <w:rPr>
          <w:rFonts w:cstheme="minorHAnsi"/>
          <w:sz w:val="22"/>
          <w:szCs w:val="22"/>
        </w:rPr>
        <w:t xml:space="preserve"> improve efficiencies for businesses and help fuel the U.S. economy. </w:t>
      </w:r>
    </w:p>
    <w:p w14:paraId="77DF6D34" w14:textId="77777777" w:rsidR="00357C1C" w:rsidRPr="00D05A37" w:rsidRDefault="00357C1C" w:rsidP="00357C1C">
      <w:pPr>
        <w:rPr>
          <w:rFonts w:cstheme="minorHAnsi"/>
          <w:sz w:val="22"/>
          <w:szCs w:val="22"/>
        </w:rPr>
      </w:pPr>
    </w:p>
    <w:p w14:paraId="516D6870" w14:textId="46E41A21" w:rsidR="00357C1C" w:rsidRPr="00D05A37" w:rsidRDefault="00357C1C" w:rsidP="00357C1C">
      <w:pPr>
        <w:rPr>
          <w:rFonts w:cstheme="minorHAnsi"/>
          <w:sz w:val="22"/>
          <w:szCs w:val="22"/>
        </w:rPr>
      </w:pPr>
      <w:r w:rsidRPr="00D05A37">
        <w:rPr>
          <w:rFonts w:cstheme="minorHAnsi"/>
          <w:sz w:val="22"/>
          <w:szCs w:val="22"/>
        </w:rPr>
        <w:t xml:space="preserve">The employers </w:t>
      </w:r>
      <w:r w:rsidR="00B005BF">
        <w:rPr>
          <w:rFonts w:cstheme="minorHAnsi"/>
          <w:sz w:val="22"/>
          <w:szCs w:val="22"/>
        </w:rPr>
        <w:t>I help to</w:t>
      </w:r>
      <w:r w:rsidRPr="00D05A37">
        <w:rPr>
          <w:rFonts w:cstheme="minorHAnsi"/>
          <w:sz w:val="22"/>
          <w:szCs w:val="22"/>
        </w:rPr>
        <w:t xml:space="preserve"> support rely heavily on their ability to have a mobile workforce in which employees can relocate as necessary to meet the evolving needs of our organization. The cost, however, for an employee to relocate to a position for which they may be uniquely suited can be a deterrent</w:t>
      </w:r>
      <w:r w:rsidR="0065694C">
        <w:rPr>
          <w:rFonts w:cstheme="minorHAnsi"/>
          <w:sz w:val="22"/>
          <w:szCs w:val="22"/>
        </w:rPr>
        <w:t>—</w:t>
      </w:r>
      <w:r w:rsidRPr="00D05A37">
        <w:rPr>
          <w:rFonts w:cstheme="minorHAnsi"/>
          <w:sz w:val="22"/>
          <w:szCs w:val="22"/>
        </w:rPr>
        <w:t xml:space="preserve">even with the financial assistance from their employer. The moving </w:t>
      </w:r>
      <w:r w:rsidR="0065694C">
        <w:rPr>
          <w:rFonts w:cstheme="minorHAnsi"/>
          <w:sz w:val="22"/>
          <w:szCs w:val="22"/>
        </w:rPr>
        <w:t xml:space="preserve">expense </w:t>
      </w:r>
      <w:r w:rsidRPr="00D05A37">
        <w:rPr>
          <w:rFonts w:cstheme="minorHAnsi"/>
          <w:sz w:val="22"/>
          <w:szCs w:val="22"/>
        </w:rPr>
        <w:t>tax deduction makes the move less costly for the employee as well as for the employing company and addresses the issue of the company having to gross up the amount paid to the employee when they cover the additional tax of the moving benefit.</w:t>
      </w:r>
    </w:p>
    <w:p w14:paraId="6D4C76F6" w14:textId="77777777" w:rsidR="00357C1C" w:rsidRPr="00D05A37" w:rsidRDefault="00357C1C" w:rsidP="00357C1C">
      <w:pPr>
        <w:rPr>
          <w:rFonts w:cstheme="minorHAnsi"/>
          <w:sz w:val="22"/>
          <w:szCs w:val="22"/>
        </w:rPr>
      </w:pPr>
    </w:p>
    <w:p w14:paraId="297CB940" w14:textId="5B7056BB" w:rsidR="00357C1C" w:rsidRPr="00D05A37" w:rsidRDefault="00357C1C" w:rsidP="00357C1C">
      <w:pPr>
        <w:rPr>
          <w:rFonts w:cstheme="minorHAnsi"/>
          <w:b/>
          <w:bCs/>
          <w:sz w:val="22"/>
          <w:szCs w:val="22"/>
        </w:rPr>
      </w:pPr>
      <w:bookmarkStart w:id="4" w:name="_Hlk184130972"/>
      <w:r w:rsidRPr="00257D15">
        <w:rPr>
          <w:rFonts w:cstheme="minorHAnsi"/>
          <w:b/>
          <w:bCs/>
          <w:sz w:val="22"/>
          <w:szCs w:val="22"/>
          <w:highlight w:val="yellow"/>
        </w:rPr>
        <w:t xml:space="preserve">[Provide details, </w:t>
      </w:r>
      <w:r w:rsidR="00B005BF" w:rsidRPr="00257D15">
        <w:rPr>
          <w:rFonts w:cstheme="minorHAnsi"/>
          <w:b/>
          <w:bCs/>
          <w:sz w:val="22"/>
          <w:szCs w:val="22"/>
          <w:highlight w:val="yellow"/>
        </w:rPr>
        <w:t xml:space="preserve">if possible, </w:t>
      </w:r>
      <w:r w:rsidRPr="00257D15">
        <w:rPr>
          <w:rFonts w:cstheme="minorHAnsi"/>
          <w:b/>
          <w:bCs/>
          <w:sz w:val="22"/>
          <w:szCs w:val="22"/>
          <w:highlight w:val="yellow"/>
        </w:rPr>
        <w:t xml:space="preserve">applicable, </w:t>
      </w:r>
      <w:r w:rsidR="00B005BF" w:rsidRPr="00257D15">
        <w:rPr>
          <w:rFonts w:cstheme="minorHAnsi"/>
          <w:b/>
          <w:bCs/>
          <w:sz w:val="22"/>
          <w:szCs w:val="22"/>
          <w:highlight w:val="yellow"/>
        </w:rPr>
        <w:t xml:space="preserve">and appropriate, </w:t>
      </w:r>
      <w:r w:rsidRPr="00257D15">
        <w:rPr>
          <w:rFonts w:cstheme="minorHAnsi"/>
          <w:b/>
          <w:bCs/>
          <w:sz w:val="22"/>
          <w:szCs w:val="22"/>
          <w:highlight w:val="yellow"/>
        </w:rPr>
        <w:t>o</w:t>
      </w:r>
      <w:bookmarkEnd w:id="4"/>
      <w:r w:rsidRPr="00257D15">
        <w:rPr>
          <w:rFonts w:cstheme="minorHAnsi"/>
          <w:b/>
          <w:bCs/>
          <w:sz w:val="22"/>
          <w:szCs w:val="22"/>
          <w:highlight w:val="yellow"/>
        </w:rPr>
        <w:t>f the number of employees your organization relocates each year. Also include what the financial cost of the loss of the moving tax deduction has meant for your client organizations and how the current loss plays negatively into decisions on relocating employees.</w:t>
      </w:r>
      <w:r w:rsidR="00B005BF" w:rsidRPr="00257D15">
        <w:rPr>
          <w:rFonts w:cstheme="minorHAnsi"/>
          <w:b/>
          <w:bCs/>
          <w:sz w:val="22"/>
          <w:szCs w:val="22"/>
          <w:highlight w:val="yellow"/>
        </w:rPr>
        <w:t>]</w:t>
      </w:r>
    </w:p>
    <w:p w14:paraId="30DB85B9" w14:textId="77777777" w:rsidR="00357C1C" w:rsidRPr="00D05A37" w:rsidRDefault="00357C1C" w:rsidP="00357C1C">
      <w:pPr>
        <w:rPr>
          <w:rFonts w:cstheme="minorHAnsi"/>
          <w:sz w:val="22"/>
          <w:szCs w:val="22"/>
        </w:rPr>
      </w:pPr>
    </w:p>
    <w:p w14:paraId="70A5C9E5" w14:textId="37CB31EA" w:rsidR="00357C1C" w:rsidRDefault="00357C1C" w:rsidP="00357C1C">
      <w:pPr>
        <w:rPr>
          <w:rFonts w:cstheme="minorHAnsi"/>
          <w:sz w:val="22"/>
          <w:szCs w:val="22"/>
        </w:rPr>
      </w:pPr>
      <w:r w:rsidRPr="00D05A37">
        <w:rPr>
          <w:rFonts w:cstheme="minorHAnsi"/>
          <w:sz w:val="22"/>
          <w:szCs w:val="22"/>
        </w:rPr>
        <w:t xml:space="preserve">As part of the Tax Cuts and Jobs Act </w:t>
      </w:r>
      <w:r w:rsidR="0065694C">
        <w:rPr>
          <w:rFonts w:cstheme="minorHAnsi"/>
          <w:sz w:val="22"/>
          <w:szCs w:val="22"/>
        </w:rPr>
        <w:t xml:space="preserve">of </w:t>
      </w:r>
      <w:r w:rsidRPr="00D05A37">
        <w:rPr>
          <w:rFonts w:cstheme="minorHAnsi"/>
          <w:sz w:val="22"/>
          <w:szCs w:val="22"/>
        </w:rPr>
        <w:t>2017, the moving expense</w:t>
      </w:r>
      <w:r w:rsidR="0065694C">
        <w:rPr>
          <w:rFonts w:cstheme="minorHAnsi"/>
          <w:sz w:val="22"/>
          <w:szCs w:val="22"/>
        </w:rPr>
        <w:t xml:space="preserve"> tax</w:t>
      </w:r>
      <w:r w:rsidRPr="00D05A37">
        <w:rPr>
          <w:rFonts w:cstheme="minorHAnsi"/>
          <w:sz w:val="22"/>
          <w:szCs w:val="22"/>
        </w:rPr>
        <w:t xml:space="preserve"> deduction, and the exclusion from income of moving expense payments by employers to move their employees, were suspended through December 31, 2025. The deduction and exclusion together make up a vital tax relief tool that makes relocation for work more affordable and supports worker mobility</w:t>
      </w:r>
      <w:r w:rsidR="0065694C">
        <w:rPr>
          <w:rFonts w:cstheme="minorHAnsi"/>
          <w:sz w:val="22"/>
          <w:szCs w:val="22"/>
        </w:rPr>
        <w:t>—</w:t>
      </w:r>
      <w:r w:rsidRPr="00D05A37">
        <w:rPr>
          <w:rFonts w:cstheme="minorHAnsi"/>
          <w:sz w:val="22"/>
          <w:szCs w:val="22"/>
        </w:rPr>
        <w:t>the lynchpin of a strong economy.</w:t>
      </w:r>
    </w:p>
    <w:p w14:paraId="233F3F2B" w14:textId="77777777" w:rsidR="00357C1C" w:rsidRPr="00D05A37" w:rsidRDefault="00357C1C" w:rsidP="00357C1C">
      <w:pPr>
        <w:rPr>
          <w:rFonts w:cstheme="minorHAnsi"/>
          <w:sz w:val="22"/>
          <w:szCs w:val="22"/>
        </w:rPr>
      </w:pPr>
    </w:p>
    <w:p w14:paraId="4C671A87" w14:textId="59BC512E" w:rsidR="00357C1C" w:rsidRPr="00D05A37" w:rsidRDefault="00357C1C" w:rsidP="00357C1C">
      <w:pPr>
        <w:rPr>
          <w:rFonts w:cstheme="minorHAnsi"/>
          <w:sz w:val="22"/>
          <w:szCs w:val="22"/>
        </w:rPr>
      </w:pPr>
      <w:r w:rsidRPr="00D05A37">
        <w:rPr>
          <w:rFonts w:cstheme="minorHAnsi"/>
          <w:sz w:val="22"/>
          <w:szCs w:val="22"/>
        </w:rPr>
        <w:t>Prior to its suspension</w:t>
      </w:r>
      <w:r>
        <w:rPr>
          <w:rFonts w:cstheme="minorHAnsi"/>
          <w:sz w:val="22"/>
          <w:szCs w:val="22"/>
        </w:rPr>
        <w:t xml:space="preserve">, the deduction was critically important </w:t>
      </w:r>
      <w:r w:rsidRPr="00D05A37">
        <w:rPr>
          <w:rFonts w:cstheme="minorHAnsi"/>
          <w:sz w:val="22"/>
          <w:szCs w:val="22"/>
        </w:rPr>
        <w:t xml:space="preserve">for middle- and working-class employees and their families. In 2017, </w:t>
      </w:r>
      <w:r w:rsidRPr="00D05A37">
        <w:rPr>
          <w:rFonts w:cs="Calibri"/>
          <w:sz w:val="22"/>
          <w:szCs w:val="22"/>
        </w:rPr>
        <w:t xml:space="preserve">72% of U.S. taxpayers who claimed the moving </w:t>
      </w:r>
      <w:r w:rsidR="0065694C">
        <w:rPr>
          <w:rFonts w:cs="Calibri"/>
          <w:sz w:val="22"/>
          <w:szCs w:val="22"/>
        </w:rPr>
        <w:t xml:space="preserve">expense tax </w:t>
      </w:r>
      <w:r w:rsidRPr="00D05A37">
        <w:rPr>
          <w:rFonts w:cs="Calibri"/>
          <w:sz w:val="22"/>
          <w:szCs w:val="22"/>
        </w:rPr>
        <w:t>deduction earned $100,000 or less, with 42</w:t>
      </w:r>
      <w:r w:rsidR="0065694C">
        <w:rPr>
          <w:rFonts w:cs="Calibri"/>
          <w:sz w:val="22"/>
          <w:szCs w:val="22"/>
        </w:rPr>
        <w:t xml:space="preserve">% </w:t>
      </w:r>
      <w:r w:rsidRPr="00D05A37">
        <w:rPr>
          <w:rFonts w:cs="Calibri"/>
          <w:sz w:val="22"/>
          <w:szCs w:val="22"/>
        </w:rPr>
        <w:t xml:space="preserve">of all taxpayers claiming it </w:t>
      </w:r>
      <w:r w:rsidR="0065694C">
        <w:rPr>
          <w:rFonts w:cs="Calibri"/>
          <w:sz w:val="22"/>
          <w:szCs w:val="22"/>
        </w:rPr>
        <w:t>reflected</w:t>
      </w:r>
      <w:r w:rsidR="0065694C" w:rsidRPr="00D05A37">
        <w:rPr>
          <w:rFonts w:cs="Calibri"/>
          <w:sz w:val="22"/>
          <w:szCs w:val="22"/>
        </w:rPr>
        <w:t xml:space="preserve"> </w:t>
      </w:r>
      <w:r w:rsidRPr="00D05A37">
        <w:rPr>
          <w:rFonts w:cs="Calibri"/>
          <w:sz w:val="22"/>
          <w:szCs w:val="22"/>
        </w:rPr>
        <w:t>income of less than $50,000.</w:t>
      </w:r>
      <w:r w:rsidR="00744C24">
        <w:rPr>
          <w:rFonts w:cs="Calibri"/>
          <w:sz w:val="22"/>
          <w:szCs w:val="22"/>
        </w:rPr>
        <w:t xml:space="preserve"> </w:t>
      </w:r>
      <w:r w:rsidRPr="00D05A37">
        <w:rPr>
          <w:rFonts w:cs="Calibri"/>
          <w:sz w:val="22"/>
          <w:szCs w:val="22"/>
        </w:rPr>
        <w:t>Only 5</w:t>
      </w:r>
      <w:r w:rsidR="0065694C">
        <w:rPr>
          <w:rFonts w:cs="Calibri"/>
          <w:sz w:val="22"/>
          <w:szCs w:val="22"/>
        </w:rPr>
        <w:t>%</w:t>
      </w:r>
      <w:r w:rsidRPr="00D05A37">
        <w:rPr>
          <w:rFonts w:cs="Calibri"/>
          <w:sz w:val="22"/>
          <w:szCs w:val="22"/>
        </w:rPr>
        <w:t xml:space="preserve"> of taxpayers claim the deduction earned over $200,000.</w:t>
      </w:r>
    </w:p>
    <w:p w14:paraId="2A7198F1" w14:textId="77777777" w:rsidR="00357C1C" w:rsidRPr="00D05A37" w:rsidRDefault="00357C1C" w:rsidP="00357C1C">
      <w:pPr>
        <w:rPr>
          <w:rFonts w:cs="Calibri"/>
          <w:sz w:val="22"/>
          <w:szCs w:val="22"/>
        </w:rPr>
      </w:pPr>
    </w:p>
    <w:p w14:paraId="63051E9B" w14:textId="0DD10883" w:rsidR="00357C1C" w:rsidRPr="00D05A37" w:rsidRDefault="00357C1C" w:rsidP="00357C1C">
      <w:pPr>
        <w:rPr>
          <w:rFonts w:cs="Calibri"/>
          <w:sz w:val="22"/>
          <w:szCs w:val="22"/>
        </w:rPr>
      </w:pPr>
      <w:r w:rsidRPr="00D05A37">
        <w:rPr>
          <w:rFonts w:cs="Calibri"/>
          <w:sz w:val="22"/>
          <w:szCs w:val="22"/>
        </w:rPr>
        <w:t>Over the last seven years, the suspension of the moving</w:t>
      </w:r>
      <w:r w:rsidR="0065694C">
        <w:rPr>
          <w:rFonts w:cs="Calibri"/>
          <w:sz w:val="22"/>
          <w:szCs w:val="22"/>
        </w:rPr>
        <w:t xml:space="preserve"> expense tax</w:t>
      </w:r>
      <w:r w:rsidRPr="00D05A37">
        <w:rPr>
          <w:rFonts w:cs="Calibri"/>
          <w:sz w:val="22"/>
          <w:szCs w:val="22"/>
        </w:rPr>
        <w:t xml:space="preserve"> deduction has resulted in unintended consequences that have hurt the American workers and their families that must move for employment purposes. These include:</w:t>
      </w:r>
    </w:p>
    <w:p w14:paraId="5673FDF8" w14:textId="77777777" w:rsidR="00357C1C" w:rsidRPr="00D05A37" w:rsidRDefault="00357C1C" w:rsidP="00357C1C">
      <w:pPr>
        <w:rPr>
          <w:rFonts w:cs="Calibri"/>
          <w:sz w:val="22"/>
          <w:szCs w:val="22"/>
        </w:rPr>
      </w:pPr>
    </w:p>
    <w:p w14:paraId="3AE2EEE2" w14:textId="10A9A445" w:rsidR="00357C1C" w:rsidRPr="00D05A37" w:rsidRDefault="00357C1C" w:rsidP="009F2EB1">
      <w:pPr>
        <w:pStyle w:val="ListParagraph"/>
        <w:numPr>
          <w:ilvl w:val="0"/>
          <w:numId w:val="5"/>
        </w:numPr>
        <w:ind w:left="1080"/>
        <w:rPr>
          <w:rFonts w:cs="Calibri"/>
          <w:sz w:val="22"/>
          <w:szCs w:val="22"/>
        </w:rPr>
      </w:pPr>
      <w:r w:rsidRPr="00D05A37">
        <w:rPr>
          <w:rFonts w:cs="Calibri"/>
          <w:b/>
          <w:bCs/>
          <w:sz w:val="22"/>
          <w:szCs w:val="22"/>
        </w:rPr>
        <w:t xml:space="preserve">Inflated </w:t>
      </w:r>
      <w:r w:rsidR="0065694C">
        <w:rPr>
          <w:rFonts w:cs="Calibri"/>
          <w:b/>
          <w:bCs/>
          <w:sz w:val="22"/>
          <w:szCs w:val="22"/>
        </w:rPr>
        <w:t>t</w:t>
      </w:r>
      <w:r w:rsidRPr="00D05A37">
        <w:rPr>
          <w:rFonts w:cs="Calibri"/>
          <w:b/>
          <w:bCs/>
          <w:sz w:val="22"/>
          <w:szCs w:val="22"/>
        </w:rPr>
        <w:t xml:space="preserve">axable </w:t>
      </w:r>
      <w:r w:rsidR="0065694C">
        <w:rPr>
          <w:rFonts w:cs="Calibri"/>
          <w:b/>
          <w:bCs/>
          <w:sz w:val="22"/>
          <w:szCs w:val="22"/>
        </w:rPr>
        <w:t>i</w:t>
      </w:r>
      <w:r w:rsidRPr="00D05A37">
        <w:rPr>
          <w:rFonts w:cs="Calibri"/>
          <w:b/>
          <w:bCs/>
          <w:sz w:val="22"/>
          <w:szCs w:val="22"/>
        </w:rPr>
        <w:t xml:space="preserve">ncome </w:t>
      </w:r>
      <w:r w:rsidR="0065694C">
        <w:rPr>
          <w:rFonts w:cs="Calibri"/>
          <w:b/>
          <w:bCs/>
          <w:sz w:val="22"/>
          <w:szCs w:val="22"/>
        </w:rPr>
        <w:t>l</w:t>
      </w:r>
      <w:r w:rsidRPr="00D05A37">
        <w:rPr>
          <w:rFonts w:cs="Calibri"/>
          <w:b/>
          <w:bCs/>
          <w:sz w:val="22"/>
          <w:szCs w:val="22"/>
        </w:rPr>
        <w:t>evels</w:t>
      </w:r>
      <w:r w:rsidR="0065694C">
        <w:rPr>
          <w:rFonts w:cs="Calibri"/>
          <w:b/>
          <w:bCs/>
          <w:sz w:val="22"/>
          <w:szCs w:val="22"/>
        </w:rPr>
        <w:t xml:space="preserve"> – </w:t>
      </w:r>
      <w:r w:rsidRPr="00D05A37">
        <w:rPr>
          <w:rFonts w:cs="Calibri"/>
          <w:sz w:val="22"/>
          <w:szCs w:val="22"/>
        </w:rPr>
        <w:t>By having to treat moving-related benefits provided by the company as part of an employer-sponsored relocation as taxable income, the moving employee faces a much higher tax burden solely because they are moving for employment purposes.</w:t>
      </w:r>
      <w:r w:rsidR="00744C24">
        <w:rPr>
          <w:rFonts w:cs="Calibri"/>
          <w:sz w:val="22"/>
          <w:szCs w:val="22"/>
        </w:rPr>
        <w:t xml:space="preserve"> </w:t>
      </w:r>
      <w:r w:rsidRPr="00D05A37">
        <w:rPr>
          <w:rFonts w:cs="Calibri"/>
          <w:sz w:val="22"/>
          <w:szCs w:val="22"/>
        </w:rPr>
        <w:t xml:space="preserve">While most companies do provide their relocating </w:t>
      </w:r>
      <w:proofErr w:type="gramStart"/>
      <w:r w:rsidRPr="00D05A37">
        <w:rPr>
          <w:rFonts w:cs="Calibri"/>
          <w:sz w:val="22"/>
          <w:szCs w:val="22"/>
        </w:rPr>
        <w:t>employees</w:t>
      </w:r>
      <w:proofErr w:type="gramEnd"/>
      <w:r w:rsidRPr="00D05A37">
        <w:rPr>
          <w:rFonts w:cs="Calibri"/>
          <w:sz w:val="22"/>
          <w:szCs w:val="22"/>
        </w:rPr>
        <w:t xml:space="preserve"> additional financial support to help offset their potential tax impacts, this still results in individuals reflecting elevated income on their tax returns.</w:t>
      </w:r>
      <w:r w:rsidR="00744C24">
        <w:rPr>
          <w:rFonts w:cs="Calibri"/>
          <w:sz w:val="22"/>
          <w:szCs w:val="22"/>
        </w:rPr>
        <w:t xml:space="preserve"> </w:t>
      </w:r>
    </w:p>
    <w:p w14:paraId="2EF31B23" w14:textId="77777777" w:rsidR="00357C1C" w:rsidRPr="00D05A37" w:rsidRDefault="00357C1C" w:rsidP="009F2EB1">
      <w:pPr>
        <w:pStyle w:val="ListParagraph"/>
        <w:ind w:left="360"/>
        <w:rPr>
          <w:rFonts w:cs="Calibri"/>
          <w:sz w:val="22"/>
          <w:szCs w:val="22"/>
        </w:rPr>
      </w:pPr>
    </w:p>
    <w:p w14:paraId="3F64C8AF" w14:textId="0EC05AF9" w:rsidR="00357C1C" w:rsidRPr="00D05A37" w:rsidRDefault="00357C1C" w:rsidP="009F2EB1">
      <w:pPr>
        <w:pStyle w:val="ListParagraph"/>
        <w:numPr>
          <w:ilvl w:val="0"/>
          <w:numId w:val="5"/>
        </w:numPr>
        <w:ind w:left="1080"/>
        <w:rPr>
          <w:rFonts w:cs="Calibri"/>
          <w:sz w:val="22"/>
          <w:szCs w:val="22"/>
        </w:rPr>
      </w:pPr>
      <w:r w:rsidRPr="00D05A37">
        <w:rPr>
          <w:rFonts w:cs="Calibri"/>
          <w:b/>
          <w:bCs/>
          <w:sz w:val="22"/>
          <w:szCs w:val="22"/>
        </w:rPr>
        <w:t>Unintended taxpayer ineligibility for income-related tax relief opportunities</w:t>
      </w:r>
      <w:r w:rsidRPr="00D05A37">
        <w:rPr>
          <w:rFonts w:cs="Calibri"/>
          <w:sz w:val="22"/>
          <w:szCs w:val="22"/>
        </w:rPr>
        <w:t xml:space="preserve">, </w:t>
      </w:r>
      <w:r w:rsidRPr="00D05A37">
        <w:rPr>
          <w:rFonts w:cs="Calibri"/>
          <w:b/>
          <w:bCs/>
          <w:sz w:val="22"/>
          <w:szCs w:val="22"/>
        </w:rPr>
        <w:t>notably the child tax credit</w:t>
      </w:r>
      <w:r w:rsidR="0065694C">
        <w:rPr>
          <w:rFonts w:cs="Calibri"/>
          <w:sz w:val="22"/>
          <w:szCs w:val="22"/>
        </w:rPr>
        <w:t xml:space="preserve"> </w:t>
      </w:r>
      <w:r w:rsidR="0065694C">
        <w:rPr>
          <w:rFonts w:cs="Calibri"/>
          <w:b/>
          <w:bCs/>
          <w:sz w:val="22"/>
          <w:szCs w:val="22"/>
        </w:rPr>
        <w:t>–</w:t>
      </w:r>
      <w:r w:rsidR="0065694C">
        <w:rPr>
          <w:rFonts w:cs="Calibri"/>
          <w:sz w:val="22"/>
          <w:szCs w:val="22"/>
        </w:rPr>
        <w:t xml:space="preserve"> </w:t>
      </w:r>
      <w:r w:rsidRPr="00D05A37">
        <w:rPr>
          <w:rFonts w:cs="Calibri"/>
          <w:sz w:val="22"/>
          <w:szCs w:val="22"/>
        </w:rPr>
        <w:t xml:space="preserve">The elevated taxable income can result in a U.S. worker becoming ineligible for critical tax relief mechanisms, such as the child tax credit, that they would have otherwise qualified for if the employment-related moving expenses didn’t increase the amount and push their taxable income past the point of eligibility. </w:t>
      </w:r>
    </w:p>
    <w:p w14:paraId="1873B98B" w14:textId="77777777" w:rsidR="00357C1C" w:rsidRPr="00D05A37" w:rsidRDefault="00357C1C" w:rsidP="00357C1C">
      <w:pPr>
        <w:pStyle w:val="ListParagraph"/>
        <w:rPr>
          <w:rFonts w:cstheme="minorHAnsi"/>
          <w:bCs/>
          <w:sz w:val="22"/>
          <w:szCs w:val="22"/>
        </w:rPr>
      </w:pPr>
    </w:p>
    <w:p w14:paraId="2AA1C66A" w14:textId="046EAA79" w:rsidR="00357C1C" w:rsidRPr="00D05A37" w:rsidRDefault="00357C1C" w:rsidP="00357C1C">
      <w:pPr>
        <w:rPr>
          <w:rFonts w:cstheme="minorHAnsi"/>
          <w:bCs/>
          <w:sz w:val="22"/>
          <w:szCs w:val="22"/>
        </w:rPr>
      </w:pPr>
      <w:r w:rsidRPr="00D05A37">
        <w:rPr>
          <w:rFonts w:cstheme="minorHAnsi"/>
          <w:bCs/>
          <w:sz w:val="22"/>
          <w:szCs w:val="22"/>
        </w:rPr>
        <w:t xml:space="preserve">By reinstating the moving tax expense deduction, Congress will again provide </w:t>
      </w:r>
      <w:r w:rsidR="0065694C">
        <w:rPr>
          <w:rFonts w:cstheme="minorHAnsi"/>
          <w:sz w:val="22"/>
          <w:szCs w:val="22"/>
        </w:rPr>
        <w:t>middle-class</w:t>
      </w:r>
      <w:r w:rsidRPr="00D05A37">
        <w:rPr>
          <w:rFonts w:cstheme="minorHAnsi"/>
          <w:sz w:val="22"/>
          <w:szCs w:val="22"/>
        </w:rPr>
        <w:t xml:space="preserve"> workers and families as well as the businesses that relocate their employees with critical tax relief and help offset the cost of individuals and entire families relocating for work.</w:t>
      </w:r>
    </w:p>
    <w:p w14:paraId="1B459DD6" w14:textId="77777777" w:rsidR="00357C1C" w:rsidRPr="00D05A37" w:rsidRDefault="00357C1C" w:rsidP="00357C1C">
      <w:pPr>
        <w:rPr>
          <w:rFonts w:cstheme="minorHAnsi"/>
          <w:bCs/>
          <w:sz w:val="22"/>
          <w:szCs w:val="22"/>
        </w:rPr>
      </w:pPr>
    </w:p>
    <w:p w14:paraId="58C4DF9A" w14:textId="71D5A811" w:rsidR="00357C1C" w:rsidRPr="00D05A37" w:rsidRDefault="00357C1C" w:rsidP="00357C1C">
      <w:pPr>
        <w:rPr>
          <w:sz w:val="22"/>
          <w:szCs w:val="22"/>
        </w:rPr>
      </w:pPr>
      <w:r w:rsidRPr="00D05A37">
        <w:rPr>
          <w:sz w:val="22"/>
          <w:szCs w:val="22"/>
        </w:rPr>
        <w:t xml:space="preserve">Thank you for your consideration of </w:t>
      </w:r>
      <w:r w:rsidR="00B005BF">
        <w:rPr>
          <w:sz w:val="22"/>
          <w:szCs w:val="22"/>
        </w:rPr>
        <w:t xml:space="preserve">my request for reinstatement of the moving expense </w:t>
      </w:r>
      <w:r w:rsidR="00744C24">
        <w:rPr>
          <w:sz w:val="22"/>
          <w:szCs w:val="22"/>
        </w:rPr>
        <w:t xml:space="preserve">tax </w:t>
      </w:r>
      <w:r w:rsidR="00B005BF">
        <w:rPr>
          <w:sz w:val="22"/>
          <w:szCs w:val="22"/>
        </w:rPr>
        <w:t>deduction</w:t>
      </w:r>
      <w:r w:rsidRPr="00D05A37">
        <w:rPr>
          <w:sz w:val="22"/>
          <w:szCs w:val="22"/>
        </w:rPr>
        <w:t>.</w:t>
      </w:r>
    </w:p>
    <w:p w14:paraId="13C2EE04" w14:textId="77777777" w:rsidR="00357C1C" w:rsidRPr="00D05A37" w:rsidRDefault="00357C1C" w:rsidP="00357C1C">
      <w:pPr>
        <w:rPr>
          <w:sz w:val="22"/>
          <w:szCs w:val="22"/>
        </w:rPr>
      </w:pPr>
    </w:p>
    <w:p w14:paraId="3831C57A" w14:textId="77777777" w:rsidR="00357C1C" w:rsidRPr="00D05A37" w:rsidRDefault="00357C1C" w:rsidP="00357C1C">
      <w:pPr>
        <w:rPr>
          <w:sz w:val="22"/>
          <w:szCs w:val="22"/>
        </w:rPr>
      </w:pPr>
      <w:r w:rsidRPr="00D05A37">
        <w:rPr>
          <w:sz w:val="22"/>
          <w:szCs w:val="22"/>
        </w:rPr>
        <w:t>Sincerely,</w:t>
      </w:r>
    </w:p>
    <w:p w14:paraId="6871B1BC" w14:textId="77777777" w:rsidR="00357C1C" w:rsidRPr="00D05A37" w:rsidRDefault="00357C1C" w:rsidP="00357C1C">
      <w:pPr>
        <w:rPr>
          <w:sz w:val="22"/>
          <w:szCs w:val="22"/>
        </w:rPr>
      </w:pPr>
    </w:p>
    <w:p w14:paraId="6CBC6005" w14:textId="77777777" w:rsidR="00357C1C" w:rsidRPr="00257D15" w:rsidRDefault="00357C1C" w:rsidP="00357C1C">
      <w:pPr>
        <w:rPr>
          <w:b/>
          <w:bCs/>
          <w:sz w:val="22"/>
          <w:szCs w:val="22"/>
          <w:highlight w:val="yellow"/>
        </w:rPr>
      </w:pPr>
      <w:bookmarkStart w:id="5" w:name="_Hlk184131041"/>
      <w:r w:rsidRPr="00257D15">
        <w:rPr>
          <w:b/>
          <w:bCs/>
          <w:sz w:val="22"/>
          <w:szCs w:val="22"/>
          <w:highlight w:val="yellow"/>
        </w:rPr>
        <w:t>[Your Name]</w:t>
      </w:r>
    </w:p>
    <w:p w14:paraId="11BCA125" w14:textId="32282094" w:rsidR="00357C1C" w:rsidRPr="00257D15" w:rsidRDefault="00357C1C" w:rsidP="00357C1C">
      <w:pPr>
        <w:rPr>
          <w:b/>
          <w:bCs/>
          <w:sz w:val="22"/>
          <w:szCs w:val="22"/>
          <w:highlight w:val="yellow"/>
        </w:rPr>
      </w:pPr>
      <w:r w:rsidRPr="00257D15">
        <w:rPr>
          <w:b/>
          <w:bCs/>
          <w:sz w:val="22"/>
          <w:szCs w:val="22"/>
          <w:highlight w:val="yellow"/>
        </w:rPr>
        <w:t>[</w:t>
      </w:r>
      <w:r w:rsidR="00B005BF" w:rsidRPr="00257D15">
        <w:rPr>
          <w:b/>
          <w:bCs/>
          <w:sz w:val="22"/>
          <w:szCs w:val="22"/>
          <w:highlight w:val="yellow"/>
        </w:rPr>
        <w:t xml:space="preserve">If possible, </w:t>
      </w:r>
      <w:r w:rsidRPr="00257D15">
        <w:rPr>
          <w:b/>
          <w:bCs/>
          <w:sz w:val="22"/>
          <w:szCs w:val="22"/>
          <w:highlight w:val="yellow"/>
        </w:rPr>
        <w:t>Organization Name]</w:t>
      </w:r>
    </w:p>
    <w:p w14:paraId="0C7ECFB4" w14:textId="7BA4477F" w:rsidR="00357C1C" w:rsidRDefault="00357C1C" w:rsidP="00357C1C">
      <w:pPr>
        <w:rPr>
          <w:b/>
          <w:bCs/>
          <w:sz w:val="22"/>
          <w:szCs w:val="22"/>
        </w:rPr>
      </w:pPr>
      <w:r w:rsidRPr="00257D15">
        <w:rPr>
          <w:b/>
          <w:bCs/>
          <w:sz w:val="22"/>
          <w:szCs w:val="22"/>
          <w:highlight w:val="yellow"/>
        </w:rPr>
        <w:t>[</w:t>
      </w:r>
      <w:r w:rsidR="00B005BF" w:rsidRPr="00257D15">
        <w:rPr>
          <w:b/>
          <w:bCs/>
          <w:sz w:val="22"/>
          <w:szCs w:val="22"/>
          <w:highlight w:val="yellow"/>
        </w:rPr>
        <w:t xml:space="preserve">If possible, </w:t>
      </w:r>
      <w:r w:rsidRPr="00257D15">
        <w:rPr>
          <w:b/>
          <w:bCs/>
          <w:sz w:val="22"/>
          <w:szCs w:val="22"/>
          <w:highlight w:val="yellow"/>
        </w:rPr>
        <w:t>Address]</w:t>
      </w:r>
    </w:p>
    <w:bookmarkEnd w:id="5"/>
    <w:p w14:paraId="51700B39" w14:textId="77777777" w:rsidR="00357C1C" w:rsidRDefault="00357C1C">
      <w:pPr>
        <w:rPr>
          <w:b/>
          <w:bCs/>
          <w:sz w:val="22"/>
          <w:szCs w:val="22"/>
        </w:rPr>
      </w:pPr>
    </w:p>
    <w:p w14:paraId="7F905F7B" w14:textId="77777777" w:rsidR="00B005BF" w:rsidRPr="00D05A37" w:rsidRDefault="00B005BF">
      <w:pPr>
        <w:rPr>
          <w:b/>
          <w:bCs/>
          <w:sz w:val="22"/>
          <w:szCs w:val="22"/>
        </w:rPr>
      </w:pPr>
    </w:p>
    <w:sectPr w:rsidR="00B005BF" w:rsidRPr="00D05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8140A"/>
    <w:multiLevelType w:val="hybridMultilevel"/>
    <w:tmpl w:val="D4348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960B7"/>
    <w:multiLevelType w:val="multilevel"/>
    <w:tmpl w:val="397A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D72E2"/>
    <w:multiLevelType w:val="hybridMultilevel"/>
    <w:tmpl w:val="2A28C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6CB205C"/>
    <w:multiLevelType w:val="hybridMultilevel"/>
    <w:tmpl w:val="66D8E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F083754"/>
    <w:multiLevelType w:val="hybridMultilevel"/>
    <w:tmpl w:val="AC5CC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848233">
    <w:abstractNumId w:val="4"/>
  </w:num>
  <w:num w:numId="2" w16cid:durableId="385110841">
    <w:abstractNumId w:val="0"/>
  </w:num>
  <w:num w:numId="3" w16cid:durableId="57554466">
    <w:abstractNumId w:val="1"/>
  </w:num>
  <w:num w:numId="4" w16cid:durableId="1990471847">
    <w:abstractNumId w:val="2"/>
  </w:num>
  <w:num w:numId="5" w16cid:durableId="951403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A5"/>
    <w:rsid w:val="000276F5"/>
    <w:rsid w:val="0003019B"/>
    <w:rsid w:val="000D7C8C"/>
    <w:rsid w:val="00103856"/>
    <w:rsid w:val="00126FCB"/>
    <w:rsid w:val="00140A6E"/>
    <w:rsid w:val="0017088E"/>
    <w:rsid w:val="001A3422"/>
    <w:rsid w:val="0021179B"/>
    <w:rsid w:val="0025756E"/>
    <w:rsid w:val="00257D15"/>
    <w:rsid w:val="002E4A75"/>
    <w:rsid w:val="002F0308"/>
    <w:rsid w:val="00302F31"/>
    <w:rsid w:val="00311CAC"/>
    <w:rsid w:val="003404D0"/>
    <w:rsid w:val="00357C1C"/>
    <w:rsid w:val="003A3D90"/>
    <w:rsid w:val="003C682F"/>
    <w:rsid w:val="003E48ED"/>
    <w:rsid w:val="00411E82"/>
    <w:rsid w:val="00442545"/>
    <w:rsid w:val="004501D0"/>
    <w:rsid w:val="0049261E"/>
    <w:rsid w:val="00495CC8"/>
    <w:rsid w:val="0049637E"/>
    <w:rsid w:val="004C0C75"/>
    <w:rsid w:val="00501442"/>
    <w:rsid w:val="00534A0F"/>
    <w:rsid w:val="005B3C92"/>
    <w:rsid w:val="005C38EC"/>
    <w:rsid w:val="005F3000"/>
    <w:rsid w:val="00630D6F"/>
    <w:rsid w:val="006351FE"/>
    <w:rsid w:val="0065140B"/>
    <w:rsid w:val="006541F5"/>
    <w:rsid w:val="0065694C"/>
    <w:rsid w:val="00662A45"/>
    <w:rsid w:val="00721453"/>
    <w:rsid w:val="00740156"/>
    <w:rsid w:val="007412A9"/>
    <w:rsid w:val="00744C24"/>
    <w:rsid w:val="00786863"/>
    <w:rsid w:val="007A70EE"/>
    <w:rsid w:val="007E0D85"/>
    <w:rsid w:val="007E4DB4"/>
    <w:rsid w:val="007F124E"/>
    <w:rsid w:val="007F64B6"/>
    <w:rsid w:val="008448A3"/>
    <w:rsid w:val="00852FB2"/>
    <w:rsid w:val="008B47D3"/>
    <w:rsid w:val="008B6B27"/>
    <w:rsid w:val="008D705E"/>
    <w:rsid w:val="00936FFA"/>
    <w:rsid w:val="009A05FE"/>
    <w:rsid w:val="009D6ADF"/>
    <w:rsid w:val="009F2820"/>
    <w:rsid w:val="009F2EB1"/>
    <w:rsid w:val="009F31C6"/>
    <w:rsid w:val="00A559E3"/>
    <w:rsid w:val="00AC12C8"/>
    <w:rsid w:val="00B005BF"/>
    <w:rsid w:val="00B020CD"/>
    <w:rsid w:val="00B172B9"/>
    <w:rsid w:val="00B446F6"/>
    <w:rsid w:val="00B72C44"/>
    <w:rsid w:val="00C03779"/>
    <w:rsid w:val="00C270FB"/>
    <w:rsid w:val="00C33A0C"/>
    <w:rsid w:val="00C70D10"/>
    <w:rsid w:val="00C8556B"/>
    <w:rsid w:val="00C935E4"/>
    <w:rsid w:val="00CA00B1"/>
    <w:rsid w:val="00CB0537"/>
    <w:rsid w:val="00CC25FF"/>
    <w:rsid w:val="00CC5660"/>
    <w:rsid w:val="00CF5758"/>
    <w:rsid w:val="00D05A37"/>
    <w:rsid w:val="00D8351D"/>
    <w:rsid w:val="00DA55AE"/>
    <w:rsid w:val="00DC3279"/>
    <w:rsid w:val="00DE1062"/>
    <w:rsid w:val="00DE1DA5"/>
    <w:rsid w:val="00E3620E"/>
    <w:rsid w:val="00E41D0B"/>
    <w:rsid w:val="00F2321D"/>
    <w:rsid w:val="00F36801"/>
    <w:rsid w:val="00FF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91D6F"/>
  <w15:chartTrackingRefBased/>
  <w15:docId w15:val="{4DE79268-055D-C646-B1C5-31D67CE0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DA5"/>
    <w:pPr>
      <w:spacing w:after="0" w:line="240" w:lineRule="auto"/>
    </w:pPr>
  </w:style>
  <w:style w:type="paragraph" w:styleId="Heading1">
    <w:name w:val="heading 1"/>
    <w:basedOn w:val="Normal"/>
    <w:next w:val="Normal"/>
    <w:link w:val="Heading1Char"/>
    <w:uiPriority w:val="9"/>
    <w:qFormat/>
    <w:rsid w:val="00DE1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D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D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D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D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D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D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D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D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D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D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D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D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DA5"/>
    <w:rPr>
      <w:rFonts w:eastAsiaTheme="majorEastAsia" w:cstheme="majorBidi"/>
      <w:color w:val="272727" w:themeColor="text1" w:themeTint="D8"/>
    </w:rPr>
  </w:style>
  <w:style w:type="paragraph" w:styleId="Title">
    <w:name w:val="Title"/>
    <w:basedOn w:val="Normal"/>
    <w:next w:val="Normal"/>
    <w:link w:val="TitleChar"/>
    <w:uiPriority w:val="10"/>
    <w:qFormat/>
    <w:rsid w:val="00DE1D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D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DA5"/>
    <w:pPr>
      <w:spacing w:before="160"/>
      <w:jc w:val="center"/>
    </w:pPr>
    <w:rPr>
      <w:i/>
      <w:iCs/>
      <w:color w:val="404040" w:themeColor="text1" w:themeTint="BF"/>
    </w:rPr>
  </w:style>
  <w:style w:type="character" w:customStyle="1" w:styleId="QuoteChar">
    <w:name w:val="Quote Char"/>
    <w:basedOn w:val="DefaultParagraphFont"/>
    <w:link w:val="Quote"/>
    <w:uiPriority w:val="29"/>
    <w:rsid w:val="00DE1DA5"/>
    <w:rPr>
      <w:i/>
      <w:iCs/>
      <w:color w:val="404040" w:themeColor="text1" w:themeTint="BF"/>
    </w:rPr>
  </w:style>
  <w:style w:type="paragraph" w:styleId="ListParagraph">
    <w:name w:val="List Paragraph"/>
    <w:basedOn w:val="Normal"/>
    <w:uiPriority w:val="34"/>
    <w:qFormat/>
    <w:rsid w:val="00DE1DA5"/>
    <w:pPr>
      <w:ind w:left="720"/>
      <w:contextualSpacing/>
    </w:pPr>
  </w:style>
  <w:style w:type="character" w:styleId="IntenseEmphasis">
    <w:name w:val="Intense Emphasis"/>
    <w:basedOn w:val="DefaultParagraphFont"/>
    <w:uiPriority w:val="21"/>
    <w:qFormat/>
    <w:rsid w:val="00DE1DA5"/>
    <w:rPr>
      <w:i/>
      <w:iCs/>
      <w:color w:val="0F4761" w:themeColor="accent1" w:themeShade="BF"/>
    </w:rPr>
  </w:style>
  <w:style w:type="paragraph" w:styleId="IntenseQuote">
    <w:name w:val="Intense Quote"/>
    <w:basedOn w:val="Normal"/>
    <w:next w:val="Normal"/>
    <w:link w:val="IntenseQuoteChar"/>
    <w:uiPriority w:val="30"/>
    <w:qFormat/>
    <w:rsid w:val="00DE1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DA5"/>
    <w:rPr>
      <w:i/>
      <w:iCs/>
      <w:color w:val="0F4761" w:themeColor="accent1" w:themeShade="BF"/>
    </w:rPr>
  </w:style>
  <w:style w:type="character" w:styleId="IntenseReference">
    <w:name w:val="Intense Reference"/>
    <w:basedOn w:val="DefaultParagraphFont"/>
    <w:uiPriority w:val="32"/>
    <w:qFormat/>
    <w:rsid w:val="00DE1DA5"/>
    <w:rPr>
      <w:b/>
      <w:bCs/>
      <w:smallCaps/>
      <w:color w:val="0F4761" w:themeColor="accent1" w:themeShade="BF"/>
      <w:spacing w:val="5"/>
    </w:rPr>
  </w:style>
  <w:style w:type="character" w:styleId="CommentReference">
    <w:name w:val="annotation reference"/>
    <w:basedOn w:val="DefaultParagraphFont"/>
    <w:uiPriority w:val="99"/>
    <w:semiHidden/>
    <w:unhideWhenUsed/>
    <w:rsid w:val="00DE1DA5"/>
    <w:rPr>
      <w:sz w:val="16"/>
      <w:szCs w:val="16"/>
    </w:rPr>
  </w:style>
  <w:style w:type="paragraph" w:styleId="Revision">
    <w:name w:val="Revision"/>
    <w:hidden/>
    <w:uiPriority w:val="99"/>
    <w:semiHidden/>
    <w:rsid w:val="00E3620E"/>
    <w:pPr>
      <w:spacing w:after="0" w:line="240" w:lineRule="auto"/>
    </w:pPr>
  </w:style>
  <w:style w:type="character" w:styleId="Hyperlink">
    <w:name w:val="Hyperlink"/>
    <w:basedOn w:val="DefaultParagraphFont"/>
    <w:uiPriority w:val="99"/>
    <w:unhideWhenUsed/>
    <w:rsid w:val="00CC5660"/>
    <w:rPr>
      <w:color w:val="467886" w:themeColor="hyperlink"/>
      <w:u w:val="single"/>
    </w:rPr>
  </w:style>
  <w:style w:type="character" w:styleId="UnresolvedMention">
    <w:name w:val="Unresolved Mention"/>
    <w:basedOn w:val="DefaultParagraphFont"/>
    <w:uiPriority w:val="99"/>
    <w:semiHidden/>
    <w:unhideWhenUsed/>
    <w:rsid w:val="00CC5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447333">
      <w:bodyDiv w:val="1"/>
      <w:marLeft w:val="0"/>
      <w:marRight w:val="0"/>
      <w:marTop w:val="0"/>
      <w:marBottom w:val="0"/>
      <w:divBdr>
        <w:top w:val="none" w:sz="0" w:space="0" w:color="auto"/>
        <w:left w:val="none" w:sz="0" w:space="0" w:color="auto"/>
        <w:bottom w:val="none" w:sz="0" w:space="0" w:color="auto"/>
        <w:right w:val="none" w:sz="0" w:space="0" w:color="auto"/>
      </w:divBdr>
    </w:div>
    <w:div w:id="213629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jackson@talenteverywhe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gress.gov/members/find-your-membe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1855</Words>
  <Characters>10320</Characters>
  <Application>Microsoft Office Word</Application>
  <DocSecurity>0</DocSecurity>
  <Lines>229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North</dc:creator>
  <cp:keywords/>
  <dc:description/>
  <cp:lastModifiedBy>Christina Howerton</cp:lastModifiedBy>
  <cp:revision>2</cp:revision>
  <dcterms:created xsi:type="dcterms:W3CDTF">2025-01-06T17:19:00Z</dcterms:created>
  <dcterms:modified xsi:type="dcterms:W3CDTF">2025-01-06T17:19:00Z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fd23c76f160964053b1d26fed67724405b0416b9c09d049b33956a867365ae97</vt:lpwstr>
  </property>
</Properties>
</file>